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bookmarkStart w:id="0" w:name="DocumentFor"/>
      <w:bookmarkEnd w:id="0"/>
      <w:bookmarkStart w:id="1" w:name="Title"/>
      <w:bookmarkEnd w:id="1"/>
      <w:bookmarkStart w:id="2"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                                   </w:t>
      </w:r>
      <w:r>
        <w:rPr>
          <w:rFonts w:ascii="Arial" w:hAnsi="Arial" w:cs="Arial"/>
          <w:b/>
          <w:sz w:val="24"/>
          <w:szCs w:val="24"/>
        </w:rPr>
        <w:t>R4-23</w:t>
      </w:r>
      <w:r>
        <w:rPr>
          <w:rFonts w:hint="eastAsia" w:ascii="Arial" w:hAnsi="Arial" w:cs="Arial"/>
          <w:b/>
          <w:sz w:val="24"/>
          <w:szCs w:val="24"/>
          <w:lang w:val="en-US" w:eastAsia="zh-CN"/>
        </w:rPr>
        <w:t>01251</w:t>
      </w:r>
      <w:bookmarkStart w:id="40" w:name="_GoBack"/>
      <w:bookmarkEnd w:id="40"/>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Athens, Greece, February 27 – March 3, 2022</w:t>
      </w:r>
    </w:p>
    <w:bookmarkEnd w:id="2"/>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Style w:val="59"/>
          <w:rFonts w:hint="eastAsia"/>
          <w:b/>
          <w:highlight w:val="none"/>
          <w:lang w:val="en-US" w:eastAsia="zh-CN"/>
        </w:rPr>
        <w:t>Discussion on 4Rx low band (&lt;1GHz) for handheld UE</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8.29.2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In RAN #98 meeting, a new WID for low NR band enhancement WID, including 4Rx low band (&lt;1GHz) for handheld UE and 3Tx for inter-band UL CA and EN-DC, was approved in [1], in which for the 4Rx low band part:</w:t>
      </w:r>
    </w:p>
    <w:p>
      <w:pPr>
        <w:keepNext/>
        <w:keepLines/>
        <w:pageBreakBefore w:val="0"/>
        <w:widowControl/>
        <w:numPr>
          <w:ilvl w:val="0"/>
          <w:numId w:val="0"/>
        </w:numPr>
        <w:kinsoku/>
        <w:wordWrap/>
        <w:overflowPunct w:val="0"/>
        <w:topLinePunct w:val="0"/>
        <w:autoSpaceDE w:val="0"/>
        <w:autoSpaceDN w:val="0"/>
        <w:bidi w:val="0"/>
        <w:adjustRightInd w:val="0"/>
        <w:spacing w:beforeLines="-2147483648" w:after="180" w:afterLines="-2147483648" w:line="240" w:lineRule="auto"/>
        <w:ind w:leftChars="0"/>
        <w:jc w:val="left"/>
        <w:textAlignment w:val="baseline"/>
        <w:rPr>
          <w:rFonts w:ascii="Times New Roman" w:hAnsi="Times New Roman" w:eastAsia="等线" w:cs="Times New Roman"/>
          <w:b/>
          <w:i/>
          <w:iCs/>
          <w:kern w:val="0"/>
          <w:sz w:val="20"/>
          <w:lang w:val="en-GB" w:eastAsia="en-GB"/>
        </w:rPr>
      </w:pPr>
      <w:bookmarkStart w:id="3" w:name="_Hlk122105456"/>
      <w:r>
        <w:rPr>
          <w:rFonts w:ascii="Times New Roman" w:hAnsi="Times New Roman" w:eastAsia="等线" w:cs="Times New Roman"/>
          <w:b/>
          <w:i/>
          <w:iCs/>
          <w:kern w:val="0"/>
          <w:sz w:val="20"/>
          <w:lang w:val="en-GB" w:eastAsia="en-GB"/>
        </w:rPr>
        <w:t>Enhancements for 4R</w:t>
      </w:r>
      <w:r>
        <w:rPr>
          <w:rFonts w:hint="eastAsia" w:ascii="Times New Roman" w:hAnsi="Times New Roman" w:eastAsia="等线" w:cs="Times New Roman"/>
          <w:b/>
          <w:i/>
          <w:iCs/>
          <w:kern w:val="0"/>
          <w:sz w:val="20"/>
          <w:lang w:val="en-GB" w:eastAsia="zh-CN"/>
        </w:rPr>
        <w:t>x</w:t>
      </w:r>
      <w:r>
        <w:rPr>
          <w:rFonts w:ascii="Times New Roman" w:hAnsi="Times New Roman" w:eastAsia="等线" w:cs="Times New Roman"/>
          <w:b/>
          <w:i/>
          <w:iCs/>
          <w:kern w:val="0"/>
          <w:sz w:val="20"/>
          <w:lang w:val="en-GB" w:eastAsia="en-GB"/>
        </w:rPr>
        <w:t xml:space="preserve"> at low frequency band </w:t>
      </w:r>
      <w:r>
        <w:rPr>
          <w:rFonts w:hint="eastAsia" w:ascii="Times New Roman" w:hAnsi="Times New Roman" w:eastAsia="等线" w:cs="Times New Roman"/>
          <w:b/>
          <w:i/>
          <w:iCs/>
          <w:kern w:val="0"/>
          <w:sz w:val="20"/>
          <w:lang w:val="en-GB" w:eastAsia="zh-CN"/>
        </w:rPr>
        <w:t>(</w:t>
      </w:r>
      <w:r>
        <w:rPr>
          <w:rFonts w:ascii="Times New Roman" w:hAnsi="Times New Roman" w:eastAsia="等线" w:cs="Times New Roman"/>
          <w:b/>
          <w:i/>
          <w:iCs/>
          <w:kern w:val="0"/>
          <w:sz w:val="20"/>
          <w:lang w:val="en-GB" w:eastAsia="zh-CN"/>
        </w:rPr>
        <w:t>&lt;1GHz)</w:t>
      </w:r>
    </w:p>
    <w:p>
      <w:pPr>
        <w:keepNext/>
        <w:keepLines/>
        <w:pageBreakBefore w:val="0"/>
        <w:widowControl/>
        <w:numPr>
          <w:ilvl w:val="1"/>
          <w:numId w:val="7"/>
        </w:numPr>
        <w:kinsoku/>
        <w:wordWrap/>
        <w:overflowPunct w:val="0"/>
        <w:topLinePunct w:val="0"/>
        <w:autoSpaceDE w:val="0"/>
        <w:autoSpaceDN w:val="0"/>
        <w:bidi w:val="0"/>
        <w:adjustRightInd w:val="0"/>
        <w:spacing w:beforeLines="-2147483648" w:after="180" w:afterLines="-2147483648" w:line="240" w:lineRule="auto"/>
        <w:ind w:left="840" w:hanging="420"/>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zh-CN"/>
        </w:rPr>
        <w:t xml:space="preserve">Study </w:t>
      </w:r>
      <w:r>
        <w:rPr>
          <w:rFonts w:ascii="Times New Roman" w:hAnsi="Times New Roman" w:eastAsia="等线" w:cs="Times New Roman"/>
          <w:i/>
          <w:iCs/>
          <w:kern w:val="0"/>
          <w:sz w:val="20"/>
          <w:u w:val="single"/>
          <w:lang w:val="en-GB" w:eastAsia="zh-CN"/>
        </w:rPr>
        <w:t>if feasible</w:t>
      </w:r>
      <w:r>
        <w:rPr>
          <w:rFonts w:ascii="Times New Roman" w:hAnsi="Times New Roman" w:eastAsia="等线" w:cs="Times New Roman"/>
          <w:i/>
          <w:iCs/>
          <w:kern w:val="0"/>
          <w:sz w:val="20"/>
          <w:lang w:val="en-GB" w:eastAsia="zh-CN"/>
        </w:rPr>
        <w:t xml:space="preserve"> Specify requirements for handheld UE with 4Rx antennas including delta R</w:t>
      </w:r>
      <w:r>
        <w:rPr>
          <w:rFonts w:ascii="Times New Roman" w:hAnsi="Times New Roman" w:eastAsia="等线" w:cs="Times New Roman"/>
          <w:i/>
          <w:iCs/>
          <w:kern w:val="0"/>
          <w:sz w:val="20"/>
          <w:vertAlign w:val="subscript"/>
          <w:lang w:val="en-GB" w:eastAsia="zh-CN"/>
        </w:rPr>
        <w:t>IB,4R</w:t>
      </w:r>
      <w:r>
        <w:rPr>
          <w:rFonts w:ascii="Times New Roman" w:hAnsi="Times New Roman" w:eastAsia="等线" w:cs="Times New Roman"/>
          <w:i/>
          <w:iCs/>
          <w:kern w:val="0"/>
          <w:sz w:val="20"/>
          <w:lang w:val="en-GB" w:eastAsia="zh-CN"/>
        </w:rPr>
        <w:t xml:space="preserve"> and </w:t>
      </w:r>
      <w:r>
        <w:rPr>
          <w:rFonts w:ascii="Times New Roman" w:hAnsi="Times New Roman" w:eastAsia="等线" w:cs="Times New Roman"/>
          <w:i/>
          <w:iCs/>
          <w:kern w:val="0"/>
          <w:sz w:val="20"/>
          <w:lang w:val="en-GB" w:eastAsia="en-GB"/>
        </w:rPr>
        <w:t>∆T</w:t>
      </w:r>
      <w:r>
        <w:rPr>
          <w:rFonts w:ascii="Times New Roman" w:hAnsi="Times New Roman" w:eastAsia="等线" w:cs="Times New Roman"/>
          <w:i/>
          <w:iCs/>
          <w:kern w:val="0"/>
          <w:sz w:val="20"/>
          <w:vertAlign w:val="subscript"/>
          <w:lang w:val="en-GB" w:eastAsia="en-GB"/>
        </w:rPr>
        <w:t>RxSRS</w:t>
      </w:r>
    </w:p>
    <w:p>
      <w:pPr>
        <w:keepNext/>
        <w:keepLines/>
        <w:pageBreakBefore w:val="0"/>
        <w:widowControl/>
        <w:numPr>
          <w:ilvl w:val="2"/>
          <w:numId w:val="7"/>
        </w:numPr>
        <w:kinsoku/>
        <w:wordWrap/>
        <w:overflowPunct w:val="0"/>
        <w:topLinePunct w:val="0"/>
        <w:autoSpaceDE w:val="0"/>
        <w:autoSpaceDN w:val="0"/>
        <w:bidi w:val="0"/>
        <w:adjustRightInd w:val="0"/>
        <w:spacing w:beforeLines="-2147483648" w:after="180" w:afterLines="-2147483648" w:line="240" w:lineRule="auto"/>
        <w:ind w:left="1260" w:hanging="420"/>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zh-CN"/>
        </w:rPr>
        <w:t>4Rx is optional feature for handheld UE in low frequency bands</w:t>
      </w:r>
    </w:p>
    <w:p>
      <w:pPr>
        <w:keepNext/>
        <w:keepLines/>
        <w:pageBreakBefore w:val="0"/>
        <w:widowControl/>
        <w:numPr>
          <w:ilvl w:val="2"/>
          <w:numId w:val="7"/>
        </w:numPr>
        <w:kinsoku/>
        <w:wordWrap/>
        <w:overflowPunct w:val="0"/>
        <w:topLinePunct w:val="0"/>
        <w:autoSpaceDE w:val="0"/>
        <w:autoSpaceDN w:val="0"/>
        <w:bidi w:val="0"/>
        <w:adjustRightInd w:val="0"/>
        <w:spacing w:beforeLines="-2147483648" w:after="180" w:afterLines="-2147483648" w:line="240" w:lineRule="auto"/>
        <w:ind w:left="1260" w:hanging="420"/>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zh-CN"/>
        </w:rPr>
        <w:t xml:space="preserve">Signalling impact will be considered </w:t>
      </w:r>
      <w:r>
        <w:rPr>
          <w:rFonts w:hint="eastAsia" w:ascii="Times New Roman" w:hAnsi="Times New Roman" w:eastAsia="等线" w:cs="Times New Roman"/>
          <w:i/>
          <w:iCs/>
          <w:kern w:val="0"/>
          <w:sz w:val="20"/>
          <w:lang w:val="en-GB" w:eastAsia="zh-CN"/>
        </w:rPr>
        <w:t>if</w:t>
      </w:r>
      <w:r>
        <w:rPr>
          <w:rFonts w:ascii="Times New Roman" w:hAnsi="Times New Roman" w:eastAsia="等线" w:cs="Times New Roman"/>
          <w:i/>
          <w:iCs/>
          <w:kern w:val="0"/>
          <w:sz w:val="20"/>
          <w:lang w:val="en-GB" w:eastAsia="zh-CN"/>
        </w:rPr>
        <w:t xml:space="preserve"> any.</w:t>
      </w:r>
    </w:p>
    <w:bookmarkEnd w:id="3"/>
    <w:p>
      <w:pPr>
        <w:keepNext/>
        <w:keepLines/>
        <w:pageBreakBefore w:val="0"/>
        <w:widowControl/>
        <w:numPr>
          <w:ilvl w:val="1"/>
          <w:numId w:val="7"/>
        </w:numPr>
        <w:kinsoku/>
        <w:wordWrap/>
        <w:overflowPunct w:val="0"/>
        <w:topLinePunct w:val="0"/>
        <w:autoSpaceDE w:val="0"/>
        <w:autoSpaceDN w:val="0"/>
        <w:bidi w:val="0"/>
        <w:adjustRightInd w:val="0"/>
        <w:spacing w:beforeLines="-2147483648" w:after="180" w:afterLines="-2147483648" w:line="240" w:lineRule="auto"/>
        <w:ind w:left="840" w:hanging="420"/>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zh-CN"/>
        </w:rPr>
        <w:t>Low frequency bands considered in this WI is in table 4.1-1 with the contact information inside.</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eastAsia="宋体"/>
          <w:bCs/>
          <w:kern w:val="0"/>
          <w:sz w:val="20"/>
          <w:szCs w:val="20"/>
          <w:highlight w:val="none"/>
          <w:lang w:val="en-US" w:eastAsia="zh-CN"/>
        </w:rPr>
      </w:pPr>
      <w:bookmarkStart w:id="4" w:name="OLE_LINK25"/>
      <w:r>
        <w:rPr>
          <w:rFonts w:hint="eastAsia"/>
          <w:bCs/>
          <w:kern w:val="0"/>
          <w:sz w:val="20"/>
          <w:szCs w:val="20"/>
          <w:highlight w:val="none"/>
          <w:lang w:val="en-US" w:eastAsia="zh-CN"/>
        </w:rPr>
        <w:t>In addition, some low bands are included, which are n28/</w:t>
      </w:r>
      <w:bookmarkStart w:id="5" w:name="OLE_LINK15"/>
      <w:r>
        <w:rPr>
          <w:rFonts w:hint="eastAsia"/>
          <w:bCs/>
          <w:kern w:val="0"/>
          <w:sz w:val="20"/>
          <w:szCs w:val="20"/>
          <w:highlight w:val="none"/>
          <w:lang w:val="en-US" w:eastAsia="zh-CN"/>
        </w:rPr>
        <w:t>n20</w:t>
      </w:r>
      <w:bookmarkEnd w:id="5"/>
      <w:r>
        <w:rPr>
          <w:rFonts w:hint="eastAsia"/>
          <w:bCs/>
          <w:kern w:val="0"/>
          <w:sz w:val="20"/>
          <w:szCs w:val="20"/>
          <w:highlight w:val="none"/>
          <w:lang w:val="en-US" w:eastAsia="zh-CN"/>
        </w:rPr>
        <w:t>/n8/n5/n26/n71, to support</w:t>
      </w:r>
      <w:bookmarkStart w:id="6" w:name="OLE_LINK2"/>
      <w:r>
        <w:rPr>
          <w:rFonts w:hint="eastAsia"/>
          <w:bCs/>
          <w:kern w:val="0"/>
          <w:sz w:val="20"/>
          <w:szCs w:val="20"/>
          <w:highlight w:val="none"/>
          <w:lang w:val="en-US" w:eastAsia="zh-CN"/>
        </w:rPr>
        <w:t xml:space="preserve"> 4Rx </w:t>
      </w:r>
      <w:bookmarkStart w:id="7" w:name="OLE_LINK5"/>
      <w:r>
        <w:rPr>
          <w:rFonts w:hint="eastAsia"/>
          <w:bCs/>
          <w:kern w:val="0"/>
          <w:sz w:val="20"/>
          <w:szCs w:val="20"/>
          <w:highlight w:val="none"/>
          <w:lang w:val="en-US" w:eastAsia="zh-CN"/>
        </w:rPr>
        <w:t>for handheld UE</w:t>
      </w:r>
      <w:bookmarkEnd w:id="6"/>
      <w:bookmarkEnd w:id="7"/>
      <w:r>
        <w:rPr>
          <w:rFonts w:hint="eastAsia"/>
          <w:bCs/>
          <w:kern w:val="0"/>
          <w:sz w:val="20"/>
          <w:szCs w:val="20"/>
          <w:highlight w:val="none"/>
          <w:lang w:val="en-US" w:eastAsia="zh-CN"/>
        </w:rPr>
        <w:t xml:space="preserve">. </w:t>
      </w:r>
      <w:r>
        <w:rPr>
          <w:rFonts w:hint="eastAsia" w:eastAsia="宋体"/>
          <w:bCs/>
          <w:kern w:val="0"/>
          <w:sz w:val="20"/>
          <w:szCs w:val="20"/>
          <w:highlight w:val="none"/>
          <w:lang w:val="en-US" w:eastAsia="zh-CN"/>
        </w:rPr>
        <w:t xml:space="preserve">In this contributions, we give some </w:t>
      </w:r>
      <w:r>
        <w:rPr>
          <w:rFonts w:hint="eastAsia"/>
          <w:bCs/>
          <w:kern w:val="0"/>
          <w:sz w:val="20"/>
          <w:szCs w:val="20"/>
          <w:highlight w:val="none"/>
          <w:lang w:val="en-US" w:eastAsia="zh-CN"/>
        </w:rPr>
        <w:t xml:space="preserve">initial </w:t>
      </w:r>
      <w:r>
        <w:rPr>
          <w:rFonts w:hint="eastAsia" w:eastAsia="宋体"/>
          <w:bCs/>
          <w:kern w:val="0"/>
          <w:sz w:val="20"/>
          <w:szCs w:val="20"/>
          <w:highlight w:val="none"/>
          <w:lang w:val="en-US" w:eastAsia="zh-CN"/>
        </w:rPr>
        <w:t xml:space="preserve">discussions on </w:t>
      </w:r>
      <w:bookmarkStart w:id="8" w:name="OLE_LINK94"/>
      <w:r>
        <w:rPr>
          <w:rFonts w:hint="eastAsia" w:eastAsia="宋体"/>
          <w:bCs/>
          <w:kern w:val="0"/>
          <w:sz w:val="20"/>
          <w:szCs w:val="20"/>
          <w:highlight w:val="none"/>
          <w:lang w:val="en-US" w:eastAsia="zh-CN"/>
        </w:rPr>
        <w:t>the</w:t>
      </w:r>
      <w:r>
        <w:rPr>
          <w:rFonts w:hint="eastAsia"/>
          <w:bCs/>
          <w:kern w:val="0"/>
          <w:sz w:val="20"/>
          <w:szCs w:val="20"/>
          <w:highlight w:val="none"/>
          <w:lang w:val="en-US" w:eastAsia="zh-CN"/>
        </w:rPr>
        <w:t xml:space="preserve"> 4Rx supported in the </w:t>
      </w:r>
      <w:bookmarkStart w:id="9" w:name="OLE_LINK17"/>
      <w:r>
        <w:rPr>
          <w:rFonts w:hint="eastAsia"/>
          <w:bCs/>
          <w:kern w:val="0"/>
          <w:sz w:val="20"/>
          <w:szCs w:val="20"/>
          <w:highlight w:val="none"/>
          <w:lang w:val="en-US" w:eastAsia="zh-CN"/>
        </w:rPr>
        <w:t>low band</w:t>
      </w:r>
      <w:bookmarkStart w:id="10" w:name="OLE_LINK16"/>
      <w:r>
        <w:rPr>
          <w:rFonts w:hint="eastAsia"/>
          <w:bCs/>
          <w:kern w:val="0"/>
          <w:sz w:val="20"/>
          <w:szCs w:val="20"/>
          <w:highlight w:val="none"/>
          <w:lang w:val="en-US" w:eastAsia="zh-CN"/>
        </w:rPr>
        <w:t xml:space="preserve"> (&lt;1GHz)</w:t>
      </w:r>
      <w:bookmarkEnd w:id="8"/>
      <w:bookmarkEnd w:id="9"/>
      <w:bookmarkEnd w:id="10"/>
      <w:r>
        <w:rPr>
          <w:rFonts w:hint="eastAsia"/>
          <w:bCs/>
          <w:kern w:val="0"/>
          <w:sz w:val="20"/>
          <w:szCs w:val="20"/>
          <w:highlight w:val="none"/>
          <w:lang w:val="en-US" w:eastAsia="zh-CN"/>
        </w:rPr>
        <w:t xml:space="preserve">. </w:t>
      </w:r>
    </w:p>
    <w:bookmarkEnd w:id="4"/>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sz w:val="20"/>
          <w:szCs w:val="20"/>
          <w:lang w:val="en-US" w:eastAsia="zh-CN"/>
        </w:rPr>
      </w:pPr>
      <w:bookmarkStart w:id="11" w:name="OLE_LINK28"/>
      <w:bookmarkStart w:id="12" w:name="OLE_LINK23"/>
      <w:bookmarkStart w:id="13" w:name="OLE_LINK66"/>
      <w:bookmarkStart w:id="14" w:name="OLE_LINK24"/>
      <w:r>
        <w:rPr>
          <w:rFonts w:hint="eastAsia"/>
          <w:sz w:val="20"/>
          <w:szCs w:val="20"/>
          <w:lang w:val="en-US" w:eastAsia="zh-CN"/>
        </w:rPr>
        <w:t xml:space="preserve">In terms of the objectives, the feasibility on supporting 4Rx </w:t>
      </w:r>
      <w:r>
        <w:rPr>
          <w:rFonts w:hint="eastAsia"/>
          <w:bCs/>
          <w:kern w:val="0"/>
          <w:sz w:val="20"/>
          <w:szCs w:val="20"/>
          <w:highlight w:val="none"/>
          <w:lang w:val="en-US" w:eastAsia="zh-CN"/>
        </w:rPr>
        <w:t xml:space="preserve">for handheld UE </w:t>
      </w:r>
      <w:r>
        <w:rPr>
          <w:rFonts w:hint="eastAsia"/>
          <w:sz w:val="20"/>
          <w:szCs w:val="20"/>
          <w:lang w:val="en-US" w:eastAsia="zh-CN"/>
        </w:rPr>
        <w:t xml:space="preserve">in the low band </w:t>
      </w:r>
      <w:r>
        <w:rPr>
          <w:rFonts w:hint="eastAsia"/>
          <w:bCs/>
          <w:kern w:val="0"/>
          <w:sz w:val="20"/>
          <w:szCs w:val="20"/>
          <w:highlight w:val="none"/>
          <w:lang w:val="en-US" w:eastAsia="zh-CN"/>
        </w:rPr>
        <w:t xml:space="preserve">(&lt;1GHz) </w:t>
      </w:r>
      <w:r>
        <w:rPr>
          <w:rFonts w:hint="eastAsia"/>
          <w:sz w:val="20"/>
          <w:szCs w:val="20"/>
          <w:lang w:val="en-US" w:eastAsia="zh-CN"/>
        </w:rPr>
        <w:t xml:space="preserve">should be studied first. Although the proponent have already provided some analysis/tests based on the commercial UE to verify the 4Rx enhancement performance of single low band (n28) in [2], some other companies hold the </w:t>
      </w:r>
      <w:bookmarkStart w:id="15" w:name="OLE_LINK4"/>
      <w:r>
        <w:rPr>
          <w:rFonts w:hint="eastAsia"/>
          <w:sz w:val="20"/>
          <w:szCs w:val="20"/>
          <w:lang w:val="en-US" w:eastAsia="zh-CN"/>
        </w:rPr>
        <w:t xml:space="preserve">opposite </w:t>
      </w:r>
      <w:bookmarkEnd w:id="15"/>
      <w:r>
        <w:rPr>
          <w:rFonts w:hint="eastAsia"/>
          <w:sz w:val="20"/>
          <w:szCs w:val="20"/>
          <w:lang w:val="en-US" w:eastAsia="zh-CN"/>
        </w:rPr>
        <w:t>views.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sz w:val="20"/>
          <w:szCs w:val="20"/>
          <w:lang w:val="en-US" w:eastAsia="zh-CN"/>
        </w:rPr>
      </w:pPr>
      <w:r>
        <w:rPr>
          <w:rFonts w:hint="eastAsia"/>
          <w:sz w:val="20"/>
          <w:szCs w:val="20"/>
          <w:lang w:val="en-US" w:eastAsia="zh-CN"/>
        </w:rPr>
        <w:t xml:space="preserve">Currently, 4Rx antennas supported for low bands (&lt;1GHz) in the specification was targeted only for FWA form factor UE type. For Mid/High bands, there was no such restrictions which means handheld UE could also support 4Rx antennas in these bands.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sz w:val="20"/>
          <w:szCs w:val="20"/>
          <w:lang w:val="en-US" w:eastAsia="zh-CN"/>
        </w:rPr>
      </w:pPr>
      <w:r>
        <w:rPr>
          <w:rFonts w:hint="eastAsia"/>
          <w:sz w:val="20"/>
          <w:szCs w:val="20"/>
          <w:lang w:val="en-US" w:eastAsia="zh-CN"/>
        </w:rPr>
        <w:t xml:space="preserve">Compared to Mid/High bands, the antenna size is larger for low band (&lt;1GHz), which make it difficult to implement more antennas in the limited handheld UE size and meanwhile </w:t>
      </w:r>
      <w:bookmarkStart w:id="16" w:name="OLE_LINK10"/>
      <w:bookmarkStart w:id="17" w:name="OLE_LINK6"/>
      <w:r>
        <w:rPr>
          <w:rFonts w:hint="eastAsia"/>
          <w:sz w:val="20"/>
          <w:szCs w:val="20"/>
          <w:lang w:val="en-US" w:eastAsia="zh-CN"/>
        </w:rPr>
        <w:t xml:space="preserve">guarantee </w:t>
      </w:r>
      <w:bookmarkEnd w:id="16"/>
      <w:r>
        <w:rPr>
          <w:rFonts w:hint="eastAsia"/>
          <w:sz w:val="20"/>
          <w:szCs w:val="20"/>
          <w:lang w:val="en-US" w:eastAsia="zh-CN"/>
        </w:rPr>
        <w:t>the performance</w:t>
      </w:r>
      <w:bookmarkEnd w:id="17"/>
      <w:r>
        <w:rPr>
          <w:rFonts w:hint="eastAsia"/>
          <w:sz w:val="20"/>
          <w:szCs w:val="20"/>
          <w:lang w:val="en-US" w:eastAsia="zh-CN"/>
        </w:rPr>
        <w:t xml:space="preserve">, which is the key pain point. In our understanding, the main challenges are how to guarantee the </w:t>
      </w:r>
      <w:bookmarkStart w:id="18" w:name="OLE_LINK11"/>
      <w:r>
        <w:rPr>
          <w:rFonts w:hint="eastAsia"/>
          <w:sz w:val="20"/>
          <w:szCs w:val="20"/>
          <w:lang w:val="en-US" w:eastAsia="zh-CN"/>
        </w:rPr>
        <w:t xml:space="preserve">performance </w:t>
      </w:r>
      <w:bookmarkEnd w:id="18"/>
      <w:r>
        <w:rPr>
          <w:rFonts w:hint="eastAsia"/>
          <w:sz w:val="20"/>
          <w:szCs w:val="20"/>
          <w:lang w:val="en-US" w:eastAsia="zh-CN"/>
        </w:rPr>
        <w:t xml:space="preserve">including antenna performance like ECC (Envelop Correlation Coefficient) when handheld UE capable of 4Rx in sub-1GHz band. We think it would </w:t>
      </w:r>
      <w:bookmarkStart w:id="19" w:name="OLE_LINK9"/>
      <w:r>
        <w:rPr>
          <w:rFonts w:hint="eastAsia"/>
          <w:sz w:val="20"/>
          <w:szCs w:val="20"/>
          <w:lang w:val="en-US" w:eastAsia="zh-CN"/>
        </w:rPr>
        <w:t xml:space="preserve">depend on </w:t>
      </w:r>
      <w:bookmarkStart w:id="20" w:name="OLE_LINK8"/>
      <w:r>
        <w:rPr>
          <w:rFonts w:hint="eastAsia"/>
          <w:sz w:val="20"/>
          <w:szCs w:val="20"/>
          <w:lang w:val="en-US" w:eastAsia="zh-CN"/>
        </w:rPr>
        <w:t xml:space="preserve">the implementation and </w:t>
      </w:r>
      <w:bookmarkStart w:id="21" w:name="OLE_LINK7"/>
      <w:r>
        <w:rPr>
          <w:rFonts w:hint="eastAsia"/>
          <w:sz w:val="20"/>
          <w:szCs w:val="20"/>
          <w:lang w:val="en-US" w:eastAsia="zh-CN"/>
        </w:rPr>
        <w:t>design</w:t>
      </w:r>
      <w:bookmarkEnd w:id="19"/>
      <w:bookmarkEnd w:id="21"/>
      <w:r>
        <w:rPr>
          <w:rFonts w:hint="eastAsia"/>
          <w:sz w:val="20"/>
          <w:szCs w:val="20"/>
          <w:lang w:val="en-US" w:eastAsia="zh-CN"/>
        </w:rPr>
        <w:t>, which would cause different performance result</w:t>
      </w:r>
      <w:bookmarkEnd w:id="20"/>
      <w:r>
        <w:rPr>
          <w:rFonts w:hint="eastAsia"/>
          <w:sz w:val="20"/>
          <w:szCs w:val="20"/>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lang w:val="en-US"/>
        </w:rPr>
      </w:pPr>
      <w:r>
        <w:rPr>
          <w:rFonts w:hint="eastAsia"/>
          <w:sz w:val="20"/>
          <w:szCs w:val="20"/>
          <w:lang w:val="en-US" w:eastAsia="zh-CN"/>
        </w:rPr>
        <w:t>Moreover, some handheld UE like flip/fold smartphones are already big enough, which may make it feasible to implement 4Rx antennas. Of course, although we think it might not proper to discuss the specific implementation and antenna design, more tests/evaluations on performance/capability might be needed.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bookmarkStart w:id="22" w:name="OLE_LINK18"/>
      <w:r>
        <w:rPr>
          <w:rFonts w:hint="eastAsia"/>
          <w:b/>
          <w:bCs/>
          <w:i/>
          <w:iCs/>
          <w:sz w:val="20"/>
          <w:szCs w:val="20"/>
          <w:lang w:val="en-US" w:eastAsia="zh-CN"/>
        </w:rPr>
        <w:t>Observation 1. Whether or not support 4Rx in low band(&lt;1GHz) for handheld UE depend on the implementation and design.</w:t>
      </w:r>
    </w:p>
    <w:bookmarkEnd w:id="22"/>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sz w:val="20"/>
          <w:szCs w:val="20"/>
          <w:lang w:val="en-US" w:eastAsia="zh-CN"/>
        </w:rPr>
      </w:pPr>
      <w:r>
        <w:rPr>
          <w:rFonts w:hint="eastAsia"/>
          <w:sz w:val="20"/>
          <w:szCs w:val="20"/>
          <w:lang w:val="en-US" w:eastAsia="zh-CN"/>
        </w:rPr>
        <w:t>In addition, when we look at</w:t>
      </w:r>
      <w:bookmarkStart w:id="23" w:name="OLE_LINK27"/>
      <w:r>
        <w:rPr>
          <w:rFonts w:hint="eastAsia"/>
          <w:sz w:val="20"/>
          <w:szCs w:val="20"/>
          <w:lang w:val="en-US" w:eastAsia="zh-CN"/>
        </w:rPr>
        <w:t xml:space="preserve"> table 7.3.1-1a in TS36.101 below</w:t>
      </w:r>
      <w:bookmarkEnd w:id="23"/>
      <w:r>
        <w:rPr>
          <w:rFonts w:hint="eastAsia"/>
          <w:sz w:val="20"/>
          <w:szCs w:val="20"/>
          <w:lang w:val="en-US" w:eastAsia="zh-CN"/>
        </w:rPr>
        <w:t>, we can find tha</w:t>
      </w:r>
      <w:bookmarkStart w:id="24" w:name="OLE_LINK19"/>
      <w:r>
        <w:rPr>
          <w:rFonts w:hint="eastAsia"/>
          <w:sz w:val="20"/>
          <w:szCs w:val="20"/>
          <w:lang w:val="en-US" w:eastAsia="zh-CN"/>
        </w:rPr>
        <w:t xml:space="preserve">t </w:t>
      </w:r>
      <w:bookmarkStart w:id="25" w:name="OLE_LINK21"/>
      <w:r>
        <w:rPr>
          <w:rFonts w:eastAsia="MS Mincho" w:cs="Arial"/>
          <w:sz w:val="20"/>
          <w:szCs w:val="20"/>
        </w:rPr>
        <w:t>ΔR</w:t>
      </w:r>
      <w:r>
        <w:rPr>
          <w:rFonts w:eastAsia="MS Mincho" w:cs="Arial"/>
          <w:sz w:val="20"/>
          <w:szCs w:val="20"/>
          <w:vertAlign w:val="subscript"/>
        </w:rPr>
        <w:t>IB,4R</w:t>
      </w:r>
      <w:r>
        <w:rPr>
          <w:rFonts w:eastAsia="MS Mincho" w:cs="Arial"/>
          <w:sz w:val="20"/>
          <w:szCs w:val="20"/>
        </w:rPr>
        <w:t xml:space="preserve"> </w:t>
      </w:r>
      <w:r>
        <w:rPr>
          <w:rFonts w:hint="eastAsia"/>
          <w:sz w:val="20"/>
          <w:szCs w:val="20"/>
          <w:lang w:val="en-US" w:eastAsia="zh-CN"/>
        </w:rPr>
        <w:t>requirement</w:t>
      </w:r>
      <w:bookmarkEnd w:id="25"/>
      <w:r>
        <w:rPr>
          <w:rFonts w:hint="eastAsia"/>
          <w:sz w:val="20"/>
          <w:szCs w:val="20"/>
          <w:lang w:val="en-US" w:eastAsia="zh-CN"/>
        </w:rPr>
        <w:t xml:space="preserve"> have already been defined for one sub-1GHz band, i.e. band 20</w:t>
      </w:r>
      <w:bookmarkEnd w:id="24"/>
      <w:r>
        <w:rPr>
          <w:rFonts w:hint="eastAsia"/>
          <w:sz w:val="20"/>
          <w:szCs w:val="20"/>
          <w:lang w:val="en-US" w:eastAsia="zh-CN"/>
        </w:rPr>
        <w:t xml:space="preserve">, and it shall be noted that there are no any </w:t>
      </w:r>
      <w:bookmarkStart w:id="26" w:name="OLE_LINK31"/>
      <w:bookmarkStart w:id="27" w:name="OLE_LINK20"/>
      <w:r>
        <w:rPr>
          <w:rFonts w:hint="eastAsia"/>
          <w:sz w:val="20"/>
          <w:szCs w:val="20"/>
          <w:lang w:val="en-US" w:eastAsia="zh-CN"/>
        </w:rPr>
        <w:t xml:space="preserve">restrictions </w:t>
      </w:r>
      <w:bookmarkEnd w:id="26"/>
      <w:r>
        <w:rPr>
          <w:rFonts w:hint="eastAsia"/>
          <w:sz w:val="20"/>
          <w:szCs w:val="20"/>
          <w:lang w:val="en-US" w:eastAsia="zh-CN"/>
        </w:rPr>
        <w:t xml:space="preserve">of FWA </w:t>
      </w:r>
      <w:bookmarkStart w:id="28" w:name="OLE_LINK32"/>
      <w:r>
        <w:rPr>
          <w:rFonts w:hint="eastAsia"/>
          <w:sz w:val="20"/>
          <w:szCs w:val="20"/>
          <w:lang w:val="en-US" w:eastAsia="zh-CN"/>
        </w:rPr>
        <w:t>form factor</w:t>
      </w:r>
      <w:bookmarkEnd w:id="28"/>
      <w:r>
        <w:rPr>
          <w:rFonts w:hint="eastAsia"/>
          <w:sz w:val="20"/>
          <w:szCs w:val="20"/>
          <w:lang w:val="en-US" w:eastAsia="zh-CN"/>
        </w:rPr>
        <w:t xml:space="preserve"> </w:t>
      </w:r>
      <w:bookmarkEnd w:id="27"/>
      <w:r>
        <w:rPr>
          <w:rFonts w:hint="eastAsia"/>
          <w:sz w:val="20"/>
          <w:szCs w:val="20"/>
          <w:lang w:val="en-US" w:eastAsia="zh-CN"/>
        </w:rPr>
        <w:t xml:space="preserve">for this band, as shown below. Without the form factor restrictions, it could be </w:t>
      </w:r>
      <w:bookmarkStart w:id="29" w:name="OLE_LINK14"/>
      <w:r>
        <w:rPr>
          <w:rFonts w:hint="eastAsia"/>
          <w:sz w:val="20"/>
          <w:szCs w:val="20"/>
          <w:lang w:val="en-US" w:eastAsia="zh-CN"/>
        </w:rPr>
        <w:t xml:space="preserve">interpreted </w:t>
      </w:r>
      <w:bookmarkEnd w:id="29"/>
      <w:r>
        <w:rPr>
          <w:rFonts w:hint="eastAsia"/>
          <w:sz w:val="20"/>
          <w:szCs w:val="20"/>
          <w:lang w:val="en-US" w:eastAsia="zh-CN"/>
        </w:rPr>
        <w:t>that the handheld UE could support 4Rx antennas in LTE band 20.</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sz w:val="20"/>
          <w:szCs w:val="20"/>
          <w:lang w:val="en-US" w:eastAsia="zh-CN"/>
        </w:rPr>
      </w:pPr>
      <w:r>
        <w:rPr>
          <w:rFonts w:hint="eastAsia"/>
          <w:sz w:val="20"/>
          <w:szCs w:val="20"/>
          <w:lang w:val="en-US" w:eastAsia="zh-CN"/>
        </w:rPr>
        <w:t xml:space="preserve">Moreover, it shall be noted that the </w:t>
      </w:r>
      <w:bookmarkStart w:id="30" w:name="OLE_LINK29"/>
      <w:bookmarkStart w:id="31" w:name="OLE_LINK22"/>
      <w:r>
        <w:rPr>
          <w:rFonts w:eastAsia="MS Mincho" w:cs="Arial"/>
          <w:sz w:val="20"/>
          <w:szCs w:val="20"/>
        </w:rPr>
        <w:t>ΔR</w:t>
      </w:r>
      <w:r>
        <w:rPr>
          <w:rFonts w:eastAsia="MS Mincho" w:cs="Arial"/>
          <w:sz w:val="20"/>
          <w:szCs w:val="20"/>
          <w:vertAlign w:val="subscript"/>
        </w:rPr>
        <w:t>IB,4R</w:t>
      </w:r>
      <w:bookmarkEnd w:id="30"/>
      <w:r>
        <w:rPr>
          <w:rFonts w:eastAsia="MS Mincho" w:cs="Arial"/>
          <w:sz w:val="20"/>
          <w:szCs w:val="20"/>
        </w:rPr>
        <w:t xml:space="preserve"> </w:t>
      </w:r>
      <w:bookmarkEnd w:id="31"/>
      <w:r>
        <w:rPr>
          <w:rFonts w:hint="eastAsia"/>
          <w:sz w:val="20"/>
          <w:szCs w:val="20"/>
          <w:lang w:val="en-US" w:eastAsia="zh-CN"/>
        </w:rPr>
        <w:t>requirement of band 20, i.e. -2.7dB, is the same with other Mid bands.</w:t>
      </w:r>
    </w:p>
    <w:p>
      <w:pPr>
        <w:pStyle w:val="55"/>
        <w:keepNext/>
        <w:keepLines/>
        <w:pageBreakBefore w:val="0"/>
        <w:widowControl/>
        <w:kinsoku/>
        <w:wordWrap/>
        <w:topLinePunct w:val="0"/>
        <w:bidi w:val="0"/>
        <w:rPr>
          <w:rFonts w:hint="default" w:eastAsia="宋体"/>
          <w:vertAlign w:val="subscript"/>
          <w:lang w:val="en-US" w:eastAsia="zh-CN"/>
        </w:rPr>
      </w:pPr>
      <w:r>
        <w:t>Table 7.3.1-1a: ΔR</w:t>
      </w:r>
      <w:r>
        <w:rPr>
          <w:vertAlign w:val="subscript"/>
        </w:rPr>
        <w:t>IB,4R</w:t>
      </w:r>
      <w:bookmarkStart w:id="32" w:name="OLE_LINK13"/>
      <w:r>
        <w:rPr>
          <w:rFonts w:hint="eastAsia"/>
          <w:vertAlign w:val="subscript"/>
          <w:lang w:val="en-US" w:eastAsia="zh-CN"/>
        </w:rPr>
        <w:t xml:space="preserve"> </w:t>
      </w:r>
      <w:r>
        <w:rPr>
          <w:rFonts w:hint="eastAsia"/>
          <w:vertAlign w:val="baseline"/>
          <w:lang w:val="en-US" w:eastAsia="zh-CN"/>
        </w:rPr>
        <w:t>(</w:t>
      </w:r>
      <w:bookmarkStart w:id="33" w:name="OLE_LINK1"/>
      <w:r>
        <w:rPr>
          <w:rFonts w:hint="eastAsia"/>
          <w:vertAlign w:val="baseline"/>
          <w:lang w:val="en-US" w:eastAsia="zh-CN"/>
        </w:rPr>
        <w:t>Extracted</w:t>
      </w:r>
      <w:bookmarkEnd w:id="33"/>
      <w:r>
        <w:rPr>
          <w:rFonts w:hint="eastAsia"/>
          <w:vertAlign w:val="baseline"/>
          <w:lang w:val="en-US" w:eastAsia="zh-CN"/>
        </w:rPr>
        <w:t xml:space="preserve"> from TS36.101)</w:t>
      </w:r>
      <w:bookmarkEnd w:id="32"/>
    </w:p>
    <w:tbl>
      <w:tblPr>
        <w:tblStyle w:val="22"/>
        <w:tblW w:w="8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9"/>
        <w:gridCol w:w="4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2"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s="Arial"/>
              </w:rPr>
            </w:pPr>
            <w:r>
              <w:rPr>
                <w:rFonts w:eastAsia="MS Mincho" w:cs="Arial"/>
              </w:rPr>
              <w:t>E-UTRA Band</w:t>
            </w:r>
          </w:p>
        </w:tc>
        <w:tc>
          <w:tcPr>
            <w:tcW w:w="2952"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s="Arial"/>
              </w:rPr>
            </w:pPr>
            <w:bookmarkStart w:id="34" w:name="OLE_LINK12"/>
            <w:r>
              <w:rPr>
                <w:rFonts w:eastAsia="MS Mincho" w:cs="Arial"/>
              </w:rPr>
              <w:t>ΔR</w:t>
            </w:r>
            <w:r>
              <w:rPr>
                <w:rFonts w:eastAsia="MS Mincho" w:cs="Arial"/>
                <w:vertAlign w:val="subscript"/>
              </w:rPr>
              <w:t>IB,4R</w:t>
            </w:r>
            <w:r>
              <w:rPr>
                <w:rFonts w:eastAsia="MS Mincho" w:cs="Arial"/>
              </w:rPr>
              <w:t xml:space="preserve"> </w:t>
            </w:r>
            <w:bookmarkEnd w:id="34"/>
            <w:r>
              <w:rPr>
                <w:rFonts w:eastAsia="MS Mincho" w:cs="Arial"/>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2" w:type="dxa"/>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eastAsia="Calibri" w:cs="Arial"/>
                <w:lang w:val="en-US"/>
              </w:rPr>
              <w:t xml:space="preserve">1, 2, 3, 4, 7, </w:t>
            </w:r>
            <w:r>
              <w:rPr>
                <w:rFonts w:eastAsia="Calibri" w:cs="Arial"/>
                <w:highlight w:val="yellow"/>
                <w:lang w:val="en-US"/>
              </w:rPr>
              <w:t>20</w:t>
            </w:r>
            <w:r>
              <w:rPr>
                <w:rFonts w:eastAsia="Calibri" w:cs="Arial"/>
                <w:lang w:val="en-US"/>
              </w:rPr>
              <w:t xml:space="preserve">, </w:t>
            </w:r>
            <w:r>
              <w:rPr>
                <w:rFonts w:eastAsia="Calibri" w:cs="Arial"/>
                <w:highlight w:val="none"/>
                <w:lang w:val="en-US"/>
              </w:rPr>
              <w:t>21,</w:t>
            </w:r>
            <w:r>
              <w:rPr>
                <w:rFonts w:eastAsia="Calibri" w:cs="Arial"/>
                <w:lang w:val="en-US"/>
              </w:rPr>
              <w:t xml:space="preserve"> 25, 30, 34, 39, 40, 41, 66</w:t>
            </w:r>
          </w:p>
        </w:tc>
        <w:tc>
          <w:tcPr>
            <w:tcW w:w="295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eastAsia="Calibri" w:cs="Arial"/>
                <w:lang w:val="en-US"/>
              </w:rPr>
              <w:t>- 2.7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2" w:type="dxa"/>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Calibri" w:cs="Arial"/>
                <w:lang w:val="en-US"/>
              </w:rPr>
            </w:pPr>
            <w:r>
              <w:rPr>
                <w:rFonts w:eastAsia="Calibri" w:cs="Arial"/>
                <w:lang w:val="en-US"/>
              </w:rPr>
              <w:t>42, 43, 52</w:t>
            </w:r>
          </w:p>
        </w:tc>
        <w:tc>
          <w:tcPr>
            <w:tcW w:w="295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s="Arial"/>
                <w:lang w:val="en-US" w:eastAsia="zh-CN"/>
              </w:rPr>
            </w:pPr>
            <w:r>
              <w:rPr>
                <w:rFonts w:eastAsia="Calibri" w:cs="Arial"/>
                <w:lang w:val="en-US"/>
              </w:rPr>
              <w:t>- 2.</w:t>
            </w:r>
            <w:r>
              <w:rPr>
                <w:rFonts w:hint="eastAsia" w:eastAsia="宋体" w:cs="Arial"/>
                <w:lang w:val="en-US" w:eastAsia="zh-CN"/>
              </w:rPr>
              <w:t>2</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sz w:val="20"/>
          <w:szCs w:val="20"/>
          <w:lang w:val="en-US" w:eastAsia="zh-CN"/>
        </w:rPr>
      </w:pPr>
      <w:r>
        <w:rPr>
          <w:rFonts w:hint="eastAsia"/>
          <w:sz w:val="20"/>
          <w:szCs w:val="20"/>
          <w:lang w:val="en-US" w:eastAsia="zh-CN"/>
        </w:rPr>
        <w:t>The information of band 20 is shown below:</w:t>
      </w:r>
    </w:p>
    <w:p>
      <w:pPr>
        <w:pStyle w:val="55"/>
        <w:rPr>
          <w:rFonts w:hint="eastAsia" w:eastAsia="宋体"/>
          <w:lang w:val="en-US" w:eastAsia="zh-CN"/>
        </w:rPr>
      </w:pPr>
      <w:r>
        <w:t>Table 5.5-1 E-UTRA operating bands</w:t>
      </w:r>
      <w:r>
        <w:rPr>
          <w:rFonts w:hint="eastAsia"/>
          <w:lang w:val="en-US" w:eastAsia="zh-CN"/>
        </w:rPr>
        <w:t xml:space="preserve"> </w:t>
      </w:r>
      <w:bookmarkStart w:id="35" w:name="OLE_LINK26"/>
      <w:r>
        <w:rPr>
          <w:rFonts w:hint="eastAsia"/>
          <w:vertAlign w:val="baseline"/>
          <w:lang w:val="en-US" w:eastAsia="zh-CN"/>
        </w:rPr>
        <w:t>(Extracted from TS36.101)</w:t>
      </w:r>
      <w:bookmarkEnd w:id="35"/>
    </w:p>
    <w:tbl>
      <w:tblPr>
        <w:tblStyle w:val="22"/>
        <w:tblW w:w="7654" w:type="dxa"/>
        <w:jc w:val="center"/>
        <w:tblLayout w:type="autofit"/>
        <w:tblCellMar>
          <w:top w:w="0" w:type="dxa"/>
          <w:left w:w="108" w:type="dxa"/>
          <w:bottom w:w="0" w:type="dxa"/>
          <w:right w:w="108" w:type="dxa"/>
        </w:tblCellMar>
      </w:tblPr>
      <w:tblGrid>
        <w:gridCol w:w="106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068" w:type="dxa"/>
            <w:vMerge w:val="restart"/>
            <w:tcBorders>
              <w:top w:val="single" w:color="auto" w:sz="4" w:space="0"/>
              <w:left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E</w:t>
            </w:r>
            <w:r>
              <w:rPr>
                <w:rFonts w:cs="Arial"/>
                <w:lang w:eastAsia="en-US"/>
              </w:rPr>
              <w:noBreakHyphen/>
            </w:r>
            <w:r>
              <w:rPr>
                <w:rFonts w:cs="Arial"/>
                <w:lang w:eastAsia="en-US"/>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Uplink (UL) operating band</w:t>
            </w:r>
            <w:r>
              <w:rPr>
                <w:rFonts w:cs="Arial"/>
                <w:lang w:eastAsia="en-US"/>
              </w:rPr>
              <w:br w:type="textWrapping"/>
            </w:r>
            <w:r>
              <w:rPr>
                <w:rFonts w:cs="Arial"/>
                <w:lang w:eastAsia="en-US"/>
              </w:rPr>
              <w:t>BS receive</w:t>
            </w:r>
            <w:r>
              <w:rPr>
                <w:rFonts w:cs="Arial"/>
                <w:lang w:eastAsia="en-US"/>
              </w:rPr>
              <w:br w:type="textWrapping"/>
            </w:r>
            <w:r>
              <w:rPr>
                <w:rFonts w:cs="Arial"/>
                <w:lang w:eastAsia="en-US"/>
              </w:rPr>
              <w:t>UE transmit</w:t>
            </w:r>
          </w:p>
        </w:tc>
        <w:tc>
          <w:tcPr>
            <w:tcW w:w="2761" w:type="dxa"/>
            <w:gridSpan w:val="3"/>
            <w:tcBorders>
              <w:top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Downlink (DL) operating band</w:t>
            </w:r>
            <w:r>
              <w:rPr>
                <w:rFonts w:cs="Arial"/>
                <w:lang w:eastAsia="en-US"/>
              </w:rPr>
              <w:br w:type="textWrapping"/>
            </w:r>
            <w:r>
              <w:rPr>
                <w:rFonts w:cs="Arial"/>
                <w:lang w:eastAsia="en-US"/>
              </w:rPr>
              <w:t xml:space="preserve">BS transmit </w:t>
            </w:r>
            <w:r>
              <w:rPr>
                <w:rFonts w:cs="Arial"/>
                <w:lang w:eastAsia="en-US"/>
              </w:rPr>
              <w:br w:type="textWrapping"/>
            </w:r>
            <w:r>
              <w:rPr>
                <w:rFonts w:cs="Arial"/>
                <w:lang w:eastAsia="en-US"/>
              </w:rPr>
              <w:t>UE receive</w:t>
            </w:r>
          </w:p>
        </w:tc>
        <w:tc>
          <w:tcPr>
            <w:tcW w:w="906" w:type="dxa"/>
            <w:vMerge w:val="restart"/>
            <w:tcBorders>
              <w:top w:val="single" w:color="auto" w:sz="4" w:space="0"/>
              <w:left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Duplex Mode</w:t>
            </w:r>
          </w:p>
        </w:tc>
      </w:tr>
      <w:tr>
        <w:tblPrEx>
          <w:tblCellMar>
            <w:top w:w="0" w:type="dxa"/>
            <w:left w:w="108" w:type="dxa"/>
            <w:bottom w:w="0" w:type="dxa"/>
            <w:right w:w="108" w:type="dxa"/>
          </w:tblCellMar>
        </w:tblPrEx>
        <w:trPr>
          <w:jc w:val="center"/>
        </w:trPr>
        <w:tc>
          <w:tcPr>
            <w:tcW w:w="1068" w:type="dxa"/>
            <w:vMerge w:val="continue"/>
            <w:tcBorders>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761" w:type="dxa"/>
            <w:gridSpan w:val="3"/>
            <w:tcBorders>
              <w:top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906" w:type="dxa"/>
            <w:vMerge w:val="continue"/>
            <w:tcBorders>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20</w:t>
            </w:r>
          </w:p>
        </w:tc>
        <w:tc>
          <w:tcPr>
            <w:tcW w:w="1227" w:type="dxa"/>
            <w:tcBorders>
              <w:top w:val="single" w:color="auto" w:sz="4" w:space="0"/>
              <w:left w:val="single" w:color="auto" w:sz="4" w:space="0"/>
              <w:bottom w:val="single" w:color="auto" w:sz="4" w:space="0"/>
            </w:tcBorders>
          </w:tcPr>
          <w:p>
            <w:pPr>
              <w:pStyle w:val="7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832 MHz</w:t>
            </w:r>
          </w:p>
        </w:tc>
        <w:tc>
          <w:tcPr>
            <w:tcW w:w="517" w:type="dxa"/>
            <w:tcBorders>
              <w:top w:val="single" w:color="auto" w:sz="4" w:space="0"/>
              <w:bottom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862 MHz</w:t>
            </w:r>
          </w:p>
        </w:tc>
        <w:tc>
          <w:tcPr>
            <w:tcW w:w="1243" w:type="dxa"/>
            <w:tcBorders>
              <w:top w:val="single" w:color="auto" w:sz="4" w:space="0"/>
              <w:left w:val="single" w:color="auto" w:sz="4" w:space="0"/>
              <w:bottom w:val="single" w:color="auto" w:sz="4" w:space="0"/>
            </w:tcBorders>
          </w:tcPr>
          <w:p>
            <w:pPr>
              <w:pStyle w:val="7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791 MHz</w:t>
            </w:r>
          </w:p>
        </w:tc>
        <w:tc>
          <w:tcPr>
            <w:tcW w:w="317" w:type="dxa"/>
            <w:tcBorders>
              <w:top w:val="single" w:color="auto" w:sz="4" w:space="0"/>
              <w:bottom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821 MHz</w:t>
            </w:r>
          </w:p>
        </w:tc>
        <w:tc>
          <w:tcPr>
            <w:tcW w:w="906"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lang w:eastAsia="en-US"/>
              </w:rPr>
            </w:pPr>
            <w:r>
              <w:rPr>
                <w:rFonts w:cs="Arial"/>
                <w:lang w:eastAsia="en-US"/>
              </w:rPr>
              <w:t>FDD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 xml:space="preserve">Observation 2. </w:t>
      </w:r>
      <w:r>
        <w:rPr>
          <w:rFonts w:eastAsia="MS Mincho" w:cs="Arial"/>
          <w:b/>
          <w:bCs/>
          <w:i/>
          <w:iCs/>
          <w:sz w:val="20"/>
          <w:szCs w:val="20"/>
        </w:rPr>
        <w:t>ΔR</w:t>
      </w:r>
      <w:r>
        <w:rPr>
          <w:rFonts w:eastAsia="MS Mincho" w:cs="Arial"/>
          <w:b/>
          <w:bCs/>
          <w:i/>
          <w:iCs/>
          <w:sz w:val="20"/>
          <w:szCs w:val="20"/>
          <w:vertAlign w:val="subscript"/>
        </w:rPr>
        <w:t>IB,4R</w:t>
      </w:r>
      <w:r>
        <w:rPr>
          <w:rFonts w:eastAsia="MS Mincho" w:cs="Arial"/>
          <w:b/>
          <w:bCs/>
          <w:i/>
          <w:iCs/>
          <w:sz w:val="20"/>
          <w:szCs w:val="20"/>
        </w:rPr>
        <w:t xml:space="preserve"> </w:t>
      </w:r>
      <w:r>
        <w:rPr>
          <w:rFonts w:hint="eastAsia"/>
          <w:b/>
          <w:bCs/>
          <w:i/>
          <w:iCs/>
          <w:sz w:val="20"/>
          <w:szCs w:val="20"/>
          <w:lang w:val="en-US" w:eastAsia="zh-CN"/>
        </w:rPr>
        <w:t xml:space="preserve">requirement have already been defined for LTE band 20 without restrictions of FWA form factor, and the </w:t>
      </w:r>
      <w:r>
        <w:rPr>
          <w:rFonts w:eastAsia="MS Mincho" w:cs="Arial"/>
          <w:b/>
          <w:bCs/>
          <w:i/>
          <w:iCs/>
          <w:sz w:val="20"/>
          <w:szCs w:val="20"/>
        </w:rPr>
        <w:t>ΔR</w:t>
      </w:r>
      <w:r>
        <w:rPr>
          <w:rFonts w:eastAsia="MS Mincho" w:cs="Arial"/>
          <w:b/>
          <w:bCs/>
          <w:i/>
          <w:iCs/>
          <w:sz w:val="20"/>
          <w:szCs w:val="20"/>
          <w:vertAlign w:val="subscript"/>
        </w:rPr>
        <w:t>IB,4R</w:t>
      </w:r>
      <w:r>
        <w:rPr>
          <w:rFonts w:eastAsia="MS Mincho" w:cs="Arial"/>
          <w:b/>
          <w:bCs/>
          <w:i/>
          <w:iCs/>
          <w:sz w:val="20"/>
          <w:szCs w:val="20"/>
        </w:rPr>
        <w:t xml:space="preserve"> </w:t>
      </w:r>
      <w:r>
        <w:rPr>
          <w:rFonts w:hint="eastAsia"/>
          <w:b/>
          <w:bCs/>
          <w:i/>
          <w:iCs/>
          <w:sz w:val="20"/>
          <w:szCs w:val="20"/>
          <w:lang w:val="en-US" w:eastAsia="zh-CN"/>
        </w:rPr>
        <w:t>requirement for band 20 is the same with other Mid bands.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Cs/>
          <w:kern w:val="0"/>
          <w:sz w:val="20"/>
          <w:szCs w:val="20"/>
          <w:highlight w:val="none"/>
          <w:lang w:val="en-US" w:eastAsia="zh-CN"/>
        </w:rPr>
      </w:pPr>
      <w:r>
        <w:rPr>
          <w:rFonts w:hint="eastAsia"/>
          <w:sz w:val="20"/>
          <w:szCs w:val="20"/>
          <w:lang w:val="en-US" w:eastAsia="zh-CN"/>
        </w:rPr>
        <w:t xml:space="preserve">Meanwhile, it shall be noted that band n20 is also supported for NR, whose corresponding refarming LTE band is B20. Moreover, </w:t>
      </w:r>
      <w:r>
        <w:rPr>
          <w:rFonts w:hint="eastAsia"/>
          <w:bCs/>
          <w:kern w:val="0"/>
          <w:sz w:val="20"/>
          <w:szCs w:val="20"/>
          <w:highlight w:val="none"/>
          <w:lang w:val="en-US" w:eastAsia="zh-CN"/>
        </w:rPr>
        <w:t xml:space="preserve">n20 is one of the proposed low bands (&lt;1GHz) to support 4Rx antennas for handheld UE in terms of the objectives.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Cs/>
          <w:kern w:val="0"/>
          <w:sz w:val="20"/>
          <w:szCs w:val="20"/>
          <w:highlight w:val="none"/>
          <w:lang w:val="en-US" w:eastAsia="zh-CN"/>
        </w:rPr>
      </w:pPr>
      <w:r>
        <w:rPr>
          <w:rFonts w:hint="eastAsia"/>
          <w:bCs/>
          <w:kern w:val="0"/>
          <w:sz w:val="20"/>
          <w:szCs w:val="20"/>
          <w:highlight w:val="none"/>
          <w:lang w:val="en-US" w:eastAsia="zh-CN"/>
        </w:rPr>
        <w:t xml:space="preserve">For the </w:t>
      </w:r>
      <w:r>
        <w:rPr>
          <w:rFonts w:eastAsia="MS Mincho" w:cs="Arial"/>
          <w:sz w:val="20"/>
          <w:szCs w:val="20"/>
        </w:rPr>
        <w:t>ΔR</w:t>
      </w:r>
      <w:r>
        <w:rPr>
          <w:rFonts w:eastAsia="MS Mincho" w:cs="Arial"/>
          <w:sz w:val="20"/>
          <w:szCs w:val="20"/>
          <w:vertAlign w:val="subscript"/>
        </w:rPr>
        <w:t>IB,4R</w:t>
      </w:r>
      <w:r>
        <w:rPr>
          <w:rFonts w:eastAsia="MS Mincho" w:cs="Arial"/>
          <w:sz w:val="20"/>
          <w:szCs w:val="20"/>
        </w:rPr>
        <w:t xml:space="preserve"> </w:t>
      </w:r>
      <w:r>
        <w:rPr>
          <w:rFonts w:hint="eastAsia"/>
          <w:bCs/>
          <w:kern w:val="0"/>
          <w:sz w:val="20"/>
          <w:szCs w:val="20"/>
          <w:highlight w:val="none"/>
          <w:lang w:val="en-US" w:eastAsia="zh-CN"/>
        </w:rPr>
        <w:t xml:space="preserve">requirement, it should be band specific requirement. However, we prefer to use one set of the requirement for all sub-1GHz bands. </w:t>
      </w:r>
      <w:r>
        <w:rPr>
          <w:rFonts w:hint="default"/>
          <w:bCs/>
          <w:kern w:val="0"/>
          <w:sz w:val="20"/>
          <w:szCs w:val="20"/>
          <w:highlight w:val="none"/>
          <w:lang w:eastAsia="zh-CN"/>
        </w:rPr>
        <w:t>When we look at the</w:t>
      </w:r>
      <w:r>
        <w:rPr>
          <w:rFonts w:hint="eastAsia"/>
          <w:sz w:val="20"/>
          <w:szCs w:val="20"/>
          <w:lang w:val="en-US" w:eastAsia="zh-CN"/>
        </w:rPr>
        <w:t xml:space="preserve"> table 7.3.</w:t>
      </w:r>
      <w:r>
        <w:rPr>
          <w:rFonts w:hint="default"/>
          <w:sz w:val="20"/>
          <w:szCs w:val="20"/>
          <w:lang w:eastAsia="zh-CN"/>
        </w:rPr>
        <w:t>3</w:t>
      </w:r>
      <w:r>
        <w:rPr>
          <w:rFonts w:hint="eastAsia"/>
          <w:sz w:val="20"/>
          <w:szCs w:val="20"/>
          <w:lang w:val="en-US" w:eastAsia="zh-CN"/>
        </w:rPr>
        <w:t>-</w:t>
      </w:r>
      <w:r>
        <w:rPr>
          <w:rFonts w:hint="default"/>
          <w:sz w:val="20"/>
          <w:szCs w:val="20"/>
          <w:lang w:eastAsia="zh-CN"/>
        </w:rPr>
        <w:t>2</w:t>
      </w:r>
      <w:r>
        <w:rPr>
          <w:rFonts w:hint="eastAsia"/>
          <w:sz w:val="20"/>
          <w:szCs w:val="20"/>
          <w:lang w:val="en-US" w:eastAsia="zh-CN"/>
        </w:rPr>
        <w:t xml:space="preserve"> in TS3</w:t>
      </w:r>
      <w:r>
        <w:rPr>
          <w:rFonts w:hint="default"/>
          <w:sz w:val="20"/>
          <w:szCs w:val="20"/>
          <w:lang w:eastAsia="zh-CN"/>
        </w:rPr>
        <w:t>8</w:t>
      </w:r>
      <w:r>
        <w:rPr>
          <w:rFonts w:hint="eastAsia"/>
          <w:sz w:val="20"/>
          <w:szCs w:val="20"/>
          <w:lang w:val="en-US" w:eastAsia="zh-CN"/>
        </w:rPr>
        <w:t>.101</w:t>
      </w:r>
      <w:r>
        <w:rPr>
          <w:rFonts w:hint="default"/>
          <w:sz w:val="20"/>
          <w:szCs w:val="20"/>
          <w:lang w:eastAsia="zh-CN"/>
        </w:rPr>
        <w:t>-1</w:t>
      </w:r>
      <w:r>
        <w:rPr>
          <w:rFonts w:hint="eastAsia"/>
          <w:sz w:val="20"/>
          <w:szCs w:val="20"/>
          <w:lang w:val="en-US" w:eastAsia="zh-CN"/>
        </w:rPr>
        <w:t xml:space="preserve"> below</w:t>
      </w:r>
      <w:r>
        <w:rPr>
          <w:rFonts w:hint="default"/>
          <w:sz w:val="20"/>
          <w:szCs w:val="20"/>
          <w:lang w:eastAsia="zh-CN"/>
        </w:rPr>
        <w:t xml:space="preserve">, the </w:t>
      </w:r>
      <w:bookmarkStart w:id="36" w:name="OLE_LINK30"/>
      <w:r>
        <w:rPr>
          <w:rFonts w:eastAsia="MS Mincho" w:cs="Arial"/>
          <w:sz w:val="20"/>
          <w:szCs w:val="20"/>
        </w:rPr>
        <w:t>ΔR</w:t>
      </w:r>
      <w:r>
        <w:rPr>
          <w:rFonts w:eastAsia="MS Mincho" w:cs="Arial"/>
          <w:sz w:val="20"/>
          <w:szCs w:val="20"/>
          <w:vertAlign w:val="subscript"/>
        </w:rPr>
        <w:t xml:space="preserve">IB,4R </w:t>
      </w:r>
      <w:r>
        <w:rPr>
          <w:rFonts w:hint="default"/>
          <w:sz w:val="20"/>
          <w:szCs w:val="20"/>
          <w:lang w:eastAsia="zh-CN"/>
        </w:rPr>
        <w:t>values</w:t>
      </w:r>
      <w:bookmarkEnd w:id="36"/>
      <w:r>
        <w:rPr>
          <w:rFonts w:hint="default"/>
          <w:sz w:val="20"/>
          <w:szCs w:val="20"/>
          <w:lang w:eastAsia="zh-CN"/>
        </w:rPr>
        <w:t xml:space="preserve"> </w:t>
      </w:r>
      <w:r>
        <w:rPr>
          <w:rFonts w:eastAsia="MS Mincho" w:cs="Arial"/>
          <w:sz w:val="20"/>
          <w:szCs w:val="20"/>
        </w:rPr>
        <w:t>are the same with LTE for the same band. Actually, the ΔR</w:t>
      </w:r>
      <w:r>
        <w:rPr>
          <w:rFonts w:eastAsia="MS Mincho" w:cs="Arial"/>
          <w:sz w:val="20"/>
          <w:szCs w:val="20"/>
          <w:vertAlign w:val="subscript"/>
        </w:rPr>
        <w:t>IB,4R</w:t>
      </w:r>
      <w:r>
        <w:rPr>
          <w:rFonts w:hint="eastAsia" w:eastAsia="宋体" w:cs="Arial"/>
          <w:sz w:val="20"/>
          <w:szCs w:val="20"/>
          <w:vertAlign w:val="subscript"/>
          <w:lang w:val="en-US" w:eastAsia="zh-CN"/>
        </w:rPr>
        <w:t xml:space="preserve"> </w:t>
      </w:r>
      <w:r>
        <w:rPr>
          <w:rFonts w:hint="eastAsia"/>
          <w:sz w:val="20"/>
          <w:szCs w:val="20"/>
          <w:lang w:val="en-US" w:eastAsia="zh-CN"/>
        </w:rPr>
        <w:t>values for NR bands are reused from LTE.</w:t>
      </w:r>
    </w:p>
    <w:p>
      <w:pPr>
        <w:pStyle w:val="55"/>
        <w:rPr>
          <w:rFonts w:hint="eastAsia" w:eastAsia="宋体"/>
          <w:bCs/>
          <w:vertAlign w:val="subscript"/>
          <w:lang w:val="en-US" w:eastAsia="zh-CN"/>
        </w:rPr>
      </w:pPr>
      <w:r>
        <w:t>Table 7.3.2-2: Four antenna port reference sensitivity allowance ΔR</w:t>
      </w:r>
      <w:r>
        <w:rPr>
          <w:bCs/>
          <w:vertAlign w:val="subscript"/>
        </w:rPr>
        <w:t>IB,4R</w:t>
      </w:r>
      <w:r>
        <w:rPr>
          <w:rFonts w:hint="eastAsia"/>
          <w:bCs/>
          <w:vertAlign w:val="subscript"/>
          <w:lang w:val="en-US" w:eastAsia="zh-CN"/>
        </w:rPr>
        <w:t xml:space="preserve"> </w:t>
      </w:r>
      <w:r>
        <w:rPr>
          <w:rFonts w:hint="eastAsia"/>
          <w:vertAlign w:val="baseline"/>
          <w:lang w:val="en-US" w:eastAsia="zh-CN"/>
        </w:rPr>
        <w:t>(Extracted from TS38.101-1)</w:t>
      </w:r>
    </w:p>
    <w:tbl>
      <w:tblPr>
        <w:tblStyle w:val="2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Operating band</w:t>
            </w:r>
          </w:p>
        </w:tc>
        <w:tc>
          <w:tcPr>
            <w:tcW w:w="2970"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18"/>
                <w:szCs w:val="18"/>
              </w:rPr>
            </w:pPr>
            <w:r>
              <w:rPr>
                <w:rFonts w:hint="eastAsia"/>
                <w:sz w:val="18"/>
                <w:szCs w:val="18"/>
                <w:lang w:eastAsia="zh-TW"/>
              </w:rPr>
              <w:t xml:space="preserve">n8, </w:t>
            </w:r>
            <w:r>
              <w:rPr>
                <w:sz w:val="18"/>
                <w:szCs w:val="18"/>
              </w:rPr>
              <w:t>n28, n71</w:t>
            </w:r>
          </w:p>
        </w:tc>
        <w:tc>
          <w:tcPr>
            <w:tcW w:w="2970" w:type="dxa"/>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18"/>
                <w:szCs w:val="18"/>
              </w:rPr>
            </w:pPr>
            <w:r>
              <w:rPr>
                <w:sz w:val="18"/>
                <w:szCs w:val="18"/>
              </w:rPr>
              <w:t>-2.7</w:t>
            </w:r>
            <w:r>
              <w:rPr>
                <w:sz w:val="18"/>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18"/>
                <w:szCs w:val="18"/>
              </w:rPr>
            </w:pPr>
            <w:r>
              <w:rPr>
                <w:sz w:val="18"/>
                <w:szCs w:val="18"/>
              </w:rPr>
              <w:t>n1, n2, n3, n30, n40, n7,</w:t>
            </w:r>
            <w:r>
              <w:rPr>
                <w:rFonts w:eastAsia="Calibri"/>
                <w:sz w:val="18"/>
                <w:szCs w:val="18"/>
              </w:rPr>
              <w:t xml:space="preserve"> n34, n38, n39, n41, n66, n70</w:t>
            </w:r>
          </w:p>
        </w:tc>
        <w:tc>
          <w:tcPr>
            <w:tcW w:w="2970" w:type="dxa"/>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18"/>
                <w:szCs w:val="18"/>
              </w:rPr>
            </w:pPr>
            <w:r>
              <w:rPr>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Calibri"/>
                <w:sz w:val="18"/>
                <w:szCs w:val="18"/>
              </w:rPr>
            </w:pPr>
            <w:r>
              <w:rPr>
                <w:rFonts w:eastAsia="Calibri"/>
                <w:sz w:val="18"/>
                <w:szCs w:val="18"/>
              </w:rPr>
              <w:t>n48, n77, n78, n79, n104</w:t>
            </w:r>
          </w:p>
        </w:tc>
        <w:tc>
          <w:tcPr>
            <w:tcW w:w="2970" w:type="dxa"/>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18"/>
                <w:szCs w:val="18"/>
              </w:rPr>
            </w:pPr>
            <w:r>
              <w:rPr>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jc w:val="left"/>
              <w:textAlignment w:val="auto"/>
              <w:rPr>
                <w:sz w:val="18"/>
                <w:szCs w:val="18"/>
              </w:rPr>
            </w:pPr>
            <w:r>
              <w:rPr>
                <w:sz w:val="18"/>
                <w:szCs w:val="18"/>
              </w:rPr>
              <w:t>NOTE 1:</w:t>
            </w:r>
            <w:r>
              <w:rPr>
                <w:sz w:val="18"/>
                <w:szCs w:val="18"/>
              </w:rPr>
              <w:tab/>
            </w:r>
            <w:r>
              <w:rPr>
                <w:sz w:val="18"/>
                <w:szCs w:val="18"/>
              </w:rPr>
              <w:t>4 Rx operation is targeted for FWA form factor</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eastAsia="宋体" w:cs="Arial"/>
          <w:sz w:val="20"/>
          <w:szCs w:val="20"/>
          <w:lang w:val="en-US" w:eastAsia="zh-CN"/>
        </w:rPr>
      </w:pPr>
      <w:r>
        <w:rPr>
          <w:rFonts w:hint="eastAsia"/>
          <w:sz w:val="20"/>
          <w:szCs w:val="20"/>
          <w:lang w:val="en-US" w:eastAsia="zh-CN"/>
        </w:rPr>
        <w:t>Moreover, the</w:t>
      </w:r>
      <w:r>
        <w:rPr>
          <w:rFonts w:hint="default"/>
          <w:sz w:val="20"/>
          <w:szCs w:val="20"/>
          <w:lang w:eastAsia="zh-CN"/>
        </w:rPr>
        <w:t xml:space="preserve"> </w:t>
      </w:r>
      <w:r>
        <w:rPr>
          <w:rFonts w:eastAsia="MS Mincho" w:cs="Arial"/>
          <w:sz w:val="20"/>
          <w:szCs w:val="20"/>
        </w:rPr>
        <w:t>ΔR</w:t>
      </w:r>
      <w:r>
        <w:rPr>
          <w:rFonts w:eastAsia="MS Mincho" w:cs="Arial"/>
          <w:sz w:val="20"/>
          <w:szCs w:val="20"/>
          <w:vertAlign w:val="subscript"/>
        </w:rPr>
        <w:t xml:space="preserve">IB,4R </w:t>
      </w:r>
      <w:r>
        <w:rPr>
          <w:rFonts w:hint="default"/>
          <w:sz w:val="20"/>
          <w:szCs w:val="20"/>
          <w:lang w:eastAsia="zh-CN"/>
        </w:rPr>
        <w:t>value</w:t>
      </w:r>
      <w:r>
        <w:rPr>
          <w:rFonts w:hint="eastAsia"/>
          <w:sz w:val="20"/>
          <w:szCs w:val="20"/>
          <w:lang w:val="en-US" w:eastAsia="zh-CN"/>
        </w:rPr>
        <w:t xml:space="preserve">s for sub-1GHz bands are the same with Mid bands </w:t>
      </w:r>
      <w:r>
        <w:rPr>
          <w:rFonts w:eastAsia="MS Mincho" w:cs="Arial"/>
          <w:sz w:val="20"/>
          <w:szCs w:val="20"/>
        </w:rPr>
        <w:t>although FWA form factor is limited for sub-1GHz bands</w:t>
      </w:r>
      <w:r>
        <w:rPr>
          <w:rFonts w:hint="eastAsia" w:eastAsia="宋体" w:cs="Arial"/>
          <w:sz w:val="20"/>
          <w:szCs w:val="20"/>
          <w:lang w:val="en-US" w:eastAsia="zh-CN"/>
        </w:rPr>
        <w:t xml:space="preserve">. </w:t>
      </w:r>
      <w:r>
        <w:rPr>
          <w:rFonts w:hint="eastAsia" w:cs="Arial"/>
          <w:sz w:val="20"/>
          <w:szCs w:val="20"/>
          <w:lang w:val="en-US" w:eastAsia="zh-CN"/>
        </w:rPr>
        <w:t xml:space="preserve">By </w:t>
      </w:r>
      <w:r>
        <w:rPr>
          <w:rFonts w:hint="eastAsia" w:eastAsia="宋体" w:cs="Arial"/>
          <w:sz w:val="20"/>
          <w:szCs w:val="20"/>
          <w:lang w:val="en-US" w:eastAsia="zh-CN"/>
        </w:rPr>
        <w:t xml:space="preserve">considering </w:t>
      </w:r>
      <w:r>
        <w:rPr>
          <w:rFonts w:hint="eastAsia" w:cs="Arial"/>
          <w:sz w:val="20"/>
          <w:szCs w:val="20"/>
          <w:lang w:val="en-US" w:eastAsia="zh-CN"/>
        </w:rPr>
        <w:t>all the above</w:t>
      </w:r>
      <w:r>
        <w:rPr>
          <w:rFonts w:hint="eastAsia" w:eastAsia="宋体" w:cs="Arial"/>
          <w:sz w:val="20"/>
          <w:szCs w:val="20"/>
          <w:lang w:val="en-US" w:eastAsia="zh-CN"/>
        </w:rPr>
        <w:t xml:space="preserve"> situation</w:t>
      </w:r>
      <w:r>
        <w:rPr>
          <w:rFonts w:hint="eastAsia" w:cs="Arial"/>
          <w:sz w:val="20"/>
          <w:szCs w:val="20"/>
          <w:lang w:val="en-US" w:eastAsia="zh-CN"/>
        </w:rPr>
        <w:t>s</w:t>
      </w:r>
      <w:r>
        <w:rPr>
          <w:rFonts w:hint="eastAsia" w:eastAsia="宋体" w:cs="Arial"/>
          <w:sz w:val="20"/>
          <w:szCs w:val="20"/>
          <w:lang w:val="en-US" w:eastAsia="zh-CN"/>
        </w:rPr>
        <w:t>, we propose:</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bookmarkStart w:id="37" w:name="OLE_LINK33"/>
      <w:r>
        <w:rPr>
          <w:rFonts w:hint="eastAsia" w:eastAsia="宋体" w:cs="Arial"/>
          <w:b/>
          <w:bCs/>
          <w:i/>
          <w:iCs/>
          <w:sz w:val="20"/>
          <w:szCs w:val="20"/>
          <w:lang w:val="en-US" w:eastAsia="zh-CN"/>
        </w:rPr>
        <w:t xml:space="preserve">Proposal: </w:t>
      </w:r>
      <w:r>
        <w:rPr>
          <w:rFonts w:eastAsia="MS Mincho" w:cs="Arial"/>
          <w:b/>
          <w:bCs/>
          <w:i/>
          <w:iCs/>
          <w:sz w:val="20"/>
          <w:szCs w:val="20"/>
        </w:rPr>
        <w:t>ΔR</w:t>
      </w:r>
      <w:r>
        <w:rPr>
          <w:rFonts w:eastAsia="MS Mincho" w:cs="Arial"/>
          <w:b/>
          <w:bCs/>
          <w:i/>
          <w:iCs/>
          <w:sz w:val="20"/>
          <w:szCs w:val="20"/>
          <w:vertAlign w:val="subscript"/>
        </w:rPr>
        <w:t xml:space="preserve">IB,4R </w:t>
      </w:r>
      <w:r>
        <w:rPr>
          <w:rFonts w:hint="eastAsia" w:eastAsia="宋体" w:cs="Arial"/>
          <w:b/>
          <w:bCs/>
          <w:i/>
          <w:iCs/>
          <w:sz w:val="20"/>
          <w:szCs w:val="20"/>
          <w:vertAlign w:val="baseline"/>
          <w:lang w:val="en-US" w:eastAsia="zh-CN"/>
        </w:rPr>
        <w:t xml:space="preserve">= </w:t>
      </w:r>
      <w:r>
        <w:rPr>
          <w:rFonts w:hint="eastAsia" w:eastAsia="宋体" w:cs="Arial"/>
          <w:b/>
          <w:bCs/>
          <w:i/>
          <w:iCs/>
          <w:sz w:val="20"/>
          <w:szCs w:val="20"/>
          <w:lang w:val="en-US" w:eastAsia="zh-CN"/>
        </w:rPr>
        <w:t>-2.7dB for NR sub-1GHz bands to support 4Rx antennas for handheld UE.</w:t>
      </w:r>
    </w:p>
    <w:bookmarkEnd w:id="11"/>
    <w:bookmarkEnd w:id="12"/>
    <w:bookmarkEnd w:id="13"/>
    <w:bookmarkEnd w:id="14"/>
    <w:bookmarkEnd w:id="37"/>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give some </w:t>
      </w:r>
      <w:r>
        <w:rPr>
          <w:rFonts w:hint="eastAsia" w:cs="Times New Roman"/>
          <w:b w:val="0"/>
          <w:bCs w:val="0"/>
          <w:kern w:val="0"/>
          <w:sz w:val="20"/>
          <w:szCs w:val="20"/>
          <w:highlight w:val="none"/>
          <w:lang w:val="en-US" w:eastAsia="zh-CN" w:bidi="ar-SA"/>
        </w:rPr>
        <w:t xml:space="preserve">initial </w:t>
      </w:r>
      <w:r>
        <w:rPr>
          <w:rFonts w:hint="eastAsia" w:ascii="Times New Roman" w:hAnsi="Times New Roman" w:eastAsia="宋体" w:cs="Times New Roman"/>
          <w:b w:val="0"/>
          <w:bCs w:val="0"/>
          <w:kern w:val="0"/>
          <w:sz w:val="20"/>
          <w:szCs w:val="20"/>
          <w:highlight w:val="none"/>
          <w:lang w:val="en-US" w:eastAsia="zh-CN" w:bidi="ar-SA"/>
        </w:rPr>
        <w:t xml:space="preserve">discussions on </w:t>
      </w:r>
      <w:r>
        <w:rPr>
          <w:rFonts w:hint="eastAsia" w:eastAsia="宋体"/>
          <w:bCs/>
          <w:kern w:val="0"/>
          <w:sz w:val="20"/>
          <w:szCs w:val="20"/>
          <w:highlight w:val="none"/>
          <w:lang w:val="en-US" w:eastAsia="zh-CN"/>
        </w:rPr>
        <w:t>the</w:t>
      </w:r>
      <w:r>
        <w:rPr>
          <w:rFonts w:hint="eastAsia"/>
          <w:bCs/>
          <w:kern w:val="0"/>
          <w:sz w:val="20"/>
          <w:szCs w:val="20"/>
          <w:highlight w:val="none"/>
          <w:lang w:val="en-US" w:eastAsia="zh-CN"/>
        </w:rPr>
        <w:t xml:space="preserve"> 4Rx antennas are supported in the low band (&lt;1GHz) for handheld UE</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conclusions are:</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Observation 1. Whether or not support 4Rx in low band(&lt;1GHz) for handheld UE depend on the implementation and design.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 xml:space="preserve">Observation 2. </w:t>
      </w:r>
      <w:r>
        <w:rPr>
          <w:rFonts w:eastAsia="MS Mincho" w:cs="Arial"/>
          <w:b/>
          <w:bCs/>
          <w:i/>
          <w:iCs/>
          <w:sz w:val="20"/>
          <w:szCs w:val="20"/>
        </w:rPr>
        <w:t>ΔR</w:t>
      </w:r>
      <w:r>
        <w:rPr>
          <w:rFonts w:eastAsia="MS Mincho" w:cs="Arial"/>
          <w:b/>
          <w:bCs/>
          <w:i/>
          <w:iCs/>
          <w:sz w:val="20"/>
          <w:szCs w:val="20"/>
          <w:vertAlign w:val="subscript"/>
        </w:rPr>
        <w:t>IB,4R</w:t>
      </w:r>
      <w:r>
        <w:rPr>
          <w:rFonts w:eastAsia="MS Mincho" w:cs="Arial"/>
          <w:b/>
          <w:bCs/>
          <w:i/>
          <w:iCs/>
          <w:sz w:val="20"/>
          <w:szCs w:val="20"/>
        </w:rPr>
        <w:t xml:space="preserve"> </w:t>
      </w:r>
      <w:r>
        <w:rPr>
          <w:rFonts w:hint="eastAsia"/>
          <w:b/>
          <w:bCs/>
          <w:i/>
          <w:iCs/>
          <w:sz w:val="20"/>
          <w:szCs w:val="20"/>
          <w:lang w:val="en-US" w:eastAsia="zh-CN"/>
        </w:rPr>
        <w:t xml:space="preserve">requirement have already been defined for LTE band 20 without restrictions of FWA form factor, and the </w:t>
      </w:r>
      <w:r>
        <w:rPr>
          <w:rFonts w:eastAsia="MS Mincho" w:cs="Arial"/>
          <w:b/>
          <w:bCs/>
          <w:i/>
          <w:iCs/>
          <w:sz w:val="20"/>
          <w:szCs w:val="20"/>
        </w:rPr>
        <w:t>ΔR</w:t>
      </w:r>
      <w:r>
        <w:rPr>
          <w:rFonts w:eastAsia="MS Mincho" w:cs="Arial"/>
          <w:b/>
          <w:bCs/>
          <w:i/>
          <w:iCs/>
          <w:sz w:val="20"/>
          <w:szCs w:val="20"/>
          <w:vertAlign w:val="subscript"/>
        </w:rPr>
        <w:t>IB,4R</w:t>
      </w:r>
      <w:r>
        <w:rPr>
          <w:rFonts w:eastAsia="MS Mincho" w:cs="Arial"/>
          <w:b/>
          <w:bCs/>
          <w:i/>
          <w:iCs/>
          <w:sz w:val="20"/>
          <w:szCs w:val="20"/>
        </w:rPr>
        <w:t xml:space="preserve"> </w:t>
      </w:r>
      <w:r>
        <w:rPr>
          <w:rFonts w:hint="eastAsia"/>
          <w:b/>
          <w:bCs/>
          <w:i/>
          <w:iCs/>
          <w:sz w:val="20"/>
          <w:szCs w:val="20"/>
          <w:lang w:val="en-US" w:eastAsia="zh-CN"/>
        </w:rPr>
        <w:t>requirement for band 20 is the same with other Mid bands.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eastAsia="宋体" w:cs="Arial"/>
          <w:b/>
          <w:bCs/>
          <w:i/>
          <w:iCs/>
          <w:sz w:val="20"/>
          <w:szCs w:val="20"/>
          <w:lang w:val="en-US" w:eastAsia="zh-CN"/>
        </w:rPr>
      </w:pPr>
      <w:r>
        <w:rPr>
          <w:rFonts w:hint="eastAsia" w:eastAsia="宋体" w:cs="Arial"/>
          <w:b/>
          <w:bCs/>
          <w:i/>
          <w:iCs/>
          <w:sz w:val="20"/>
          <w:szCs w:val="20"/>
          <w:lang w:val="en-US" w:eastAsia="zh-CN"/>
        </w:rPr>
        <w:t xml:space="preserve">Proposal: </w:t>
      </w:r>
      <w:r>
        <w:rPr>
          <w:rFonts w:eastAsia="MS Mincho" w:cs="Arial"/>
          <w:b/>
          <w:bCs/>
          <w:i/>
          <w:iCs/>
          <w:sz w:val="20"/>
          <w:szCs w:val="20"/>
        </w:rPr>
        <w:t>ΔR</w:t>
      </w:r>
      <w:r>
        <w:rPr>
          <w:rFonts w:eastAsia="MS Mincho" w:cs="Arial"/>
          <w:b/>
          <w:bCs/>
          <w:i/>
          <w:iCs/>
          <w:sz w:val="20"/>
          <w:szCs w:val="20"/>
          <w:vertAlign w:val="subscript"/>
        </w:rPr>
        <w:t xml:space="preserve">IB,4R </w:t>
      </w:r>
      <w:r>
        <w:rPr>
          <w:rFonts w:hint="eastAsia" w:eastAsia="宋体" w:cs="Arial"/>
          <w:b/>
          <w:bCs/>
          <w:i/>
          <w:iCs/>
          <w:sz w:val="20"/>
          <w:szCs w:val="20"/>
          <w:vertAlign w:val="baseline"/>
          <w:lang w:val="en-US" w:eastAsia="zh-CN"/>
        </w:rPr>
        <w:t xml:space="preserve">= </w:t>
      </w:r>
      <w:r>
        <w:rPr>
          <w:rFonts w:hint="eastAsia" w:eastAsia="宋体" w:cs="Arial"/>
          <w:b/>
          <w:bCs/>
          <w:i/>
          <w:iCs/>
          <w:sz w:val="20"/>
          <w:szCs w:val="20"/>
          <w:lang w:val="en-US" w:eastAsia="zh-CN"/>
        </w:rPr>
        <w:t>-2.7dB for NR sub-1GHz bands to support 4Rx antennas for handheld UE.</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sz w:val="20"/>
          <w:szCs w:val="20"/>
          <w:lang w:val="en-US" w:eastAsia="zh-CN"/>
        </w:rPr>
        <w:t>RP-</w:t>
      </w:r>
      <w:bookmarkStart w:id="38" w:name="OLE_LINK112"/>
      <w:r>
        <w:rPr>
          <w:sz w:val="20"/>
          <w:szCs w:val="20"/>
          <w:lang w:val="en-US" w:eastAsia="zh-CN"/>
        </w:rPr>
        <w:t>223517</w:t>
      </w:r>
      <w:bookmarkEnd w:id="38"/>
      <w:r>
        <w:rPr>
          <w:rFonts w:hint="eastAsia"/>
          <w:sz w:val="20"/>
          <w:szCs w:val="20"/>
          <w:lang w:val="en-US" w:eastAsia="zh-CN"/>
        </w:rPr>
        <w:t xml:space="preserve">, </w:t>
      </w:r>
      <w:r>
        <w:rPr>
          <w:sz w:val="20"/>
          <w:szCs w:val="20"/>
          <w:lang w:val="en-US" w:eastAsia="zh-CN"/>
        </w:rPr>
        <w:t>Low NR band 4Rx for handheld UE and 3Tx for inter-band UL CA and EN-DC</w:t>
      </w:r>
      <w:r>
        <w:rPr>
          <w:rFonts w:hint="eastAsia"/>
          <w:sz w:val="20"/>
          <w:szCs w:val="20"/>
          <w:lang w:val="en-US" w:eastAsia="zh-CN"/>
        </w:rPr>
        <w:t xml:space="preserve">, </w:t>
      </w:r>
      <w:bookmarkStart w:id="39" w:name="OLE_LINK3"/>
      <w:r>
        <w:rPr>
          <w:rFonts w:hint="eastAsia"/>
          <w:sz w:val="20"/>
          <w:szCs w:val="20"/>
          <w:lang w:val="en-US" w:eastAsia="zh-CN"/>
        </w:rPr>
        <w:t>OPPO</w:t>
      </w:r>
      <w:bookmarkEnd w:id="39"/>
      <w:r>
        <w:rPr>
          <w:rFonts w:hint="eastAsia"/>
          <w:sz w:val="20"/>
          <w:szCs w:val="20"/>
          <w:lang w:val="en-US" w:eastAsia="zh-CN"/>
        </w:rPr>
        <w:t>,etc.</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 xml:space="preserve">[2] </w:t>
      </w:r>
      <w:r>
        <w:rPr>
          <w:sz w:val="20"/>
          <w:szCs w:val="20"/>
          <w:lang w:val="en-US" w:eastAsia="zh-CN"/>
        </w:rPr>
        <w:t>RP-223026</w:t>
      </w:r>
      <w:r>
        <w:rPr>
          <w:rFonts w:hint="eastAsia"/>
          <w:sz w:val="20"/>
          <w:szCs w:val="20"/>
          <w:lang w:val="en-US" w:eastAsia="zh-CN"/>
        </w:rPr>
        <w:t xml:space="preserve">, </w:t>
      </w:r>
      <w:r>
        <w:rPr>
          <w:sz w:val="20"/>
          <w:szCs w:val="20"/>
          <w:lang w:val="en-US" w:eastAsia="zh-CN"/>
        </w:rPr>
        <w:t>Motivation of low band enhancement for handheld UE</w:t>
      </w:r>
      <w:r>
        <w:rPr>
          <w:rFonts w:hint="eastAsia"/>
          <w:sz w:val="20"/>
          <w:szCs w:val="20"/>
          <w:lang w:val="en-US" w:eastAsia="zh-CN"/>
        </w:rPr>
        <w:t>, OPPO</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2175B04"/>
    <w:multiLevelType w:val="multilevel"/>
    <w:tmpl w:val="32175B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95610"/>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CC3CBC"/>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55431"/>
    <w:rsid w:val="027275A1"/>
    <w:rsid w:val="027371D9"/>
    <w:rsid w:val="0276366F"/>
    <w:rsid w:val="027F646E"/>
    <w:rsid w:val="02851D9F"/>
    <w:rsid w:val="028F6D4C"/>
    <w:rsid w:val="02926AD9"/>
    <w:rsid w:val="02933CBB"/>
    <w:rsid w:val="02951DBD"/>
    <w:rsid w:val="02976D78"/>
    <w:rsid w:val="02983E12"/>
    <w:rsid w:val="029A69A7"/>
    <w:rsid w:val="029B04E7"/>
    <w:rsid w:val="02A10998"/>
    <w:rsid w:val="02AB0FBC"/>
    <w:rsid w:val="02AE6812"/>
    <w:rsid w:val="02CF2DC2"/>
    <w:rsid w:val="02D16C80"/>
    <w:rsid w:val="02DC3F9C"/>
    <w:rsid w:val="02E50916"/>
    <w:rsid w:val="03036B01"/>
    <w:rsid w:val="03052298"/>
    <w:rsid w:val="03073BDC"/>
    <w:rsid w:val="030A6B04"/>
    <w:rsid w:val="030B0647"/>
    <w:rsid w:val="030B2860"/>
    <w:rsid w:val="030C40C1"/>
    <w:rsid w:val="030D2F0B"/>
    <w:rsid w:val="03187492"/>
    <w:rsid w:val="031E429F"/>
    <w:rsid w:val="032F336F"/>
    <w:rsid w:val="03317AD0"/>
    <w:rsid w:val="0335410E"/>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D56704"/>
    <w:rsid w:val="03E120EA"/>
    <w:rsid w:val="03E358F3"/>
    <w:rsid w:val="03E84DE8"/>
    <w:rsid w:val="03EC63CD"/>
    <w:rsid w:val="03FE5B85"/>
    <w:rsid w:val="03FE7E2B"/>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5EF01B6"/>
    <w:rsid w:val="0601277E"/>
    <w:rsid w:val="060C5AED"/>
    <w:rsid w:val="06103146"/>
    <w:rsid w:val="06172561"/>
    <w:rsid w:val="061E54DA"/>
    <w:rsid w:val="061E5E22"/>
    <w:rsid w:val="062B2FCF"/>
    <w:rsid w:val="063F63E4"/>
    <w:rsid w:val="06460B91"/>
    <w:rsid w:val="06474E16"/>
    <w:rsid w:val="0654187C"/>
    <w:rsid w:val="065475DE"/>
    <w:rsid w:val="06556C03"/>
    <w:rsid w:val="06780348"/>
    <w:rsid w:val="06782F84"/>
    <w:rsid w:val="067C28D6"/>
    <w:rsid w:val="067F6DB1"/>
    <w:rsid w:val="068A55C2"/>
    <w:rsid w:val="068E06BC"/>
    <w:rsid w:val="069201CB"/>
    <w:rsid w:val="06956E2E"/>
    <w:rsid w:val="06A20AA3"/>
    <w:rsid w:val="06AC7765"/>
    <w:rsid w:val="06B62C91"/>
    <w:rsid w:val="06B741D9"/>
    <w:rsid w:val="06B756E7"/>
    <w:rsid w:val="06C457B6"/>
    <w:rsid w:val="06CD4A70"/>
    <w:rsid w:val="06DF4C13"/>
    <w:rsid w:val="06E7678C"/>
    <w:rsid w:val="06F42A88"/>
    <w:rsid w:val="06F801C0"/>
    <w:rsid w:val="070E5E48"/>
    <w:rsid w:val="07105178"/>
    <w:rsid w:val="0712124C"/>
    <w:rsid w:val="071C13A8"/>
    <w:rsid w:val="073D143C"/>
    <w:rsid w:val="074454BD"/>
    <w:rsid w:val="074855FD"/>
    <w:rsid w:val="074F5696"/>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603E1D"/>
    <w:rsid w:val="08732D34"/>
    <w:rsid w:val="08787FF0"/>
    <w:rsid w:val="08824DF0"/>
    <w:rsid w:val="0889002B"/>
    <w:rsid w:val="089B79D9"/>
    <w:rsid w:val="08A44DA6"/>
    <w:rsid w:val="08AA245A"/>
    <w:rsid w:val="08AD2ACC"/>
    <w:rsid w:val="08BA6E24"/>
    <w:rsid w:val="08C024D5"/>
    <w:rsid w:val="08C562FD"/>
    <w:rsid w:val="08CA27B1"/>
    <w:rsid w:val="08DD767F"/>
    <w:rsid w:val="08E916DF"/>
    <w:rsid w:val="08F473EA"/>
    <w:rsid w:val="08FC0AA5"/>
    <w:rsid w:val="092173F4"/>
    <w:rsid w:val="09262DE9"/>
    <w:rsid w:val="092F7300"/>
    <w:rsid w:val="09306537"/>
    <w:rsid w:val="09355076"/>
    <w:rsid w:val="09392119"/>
    <w:rsid w:val="094376AE"/>
    <w:rsid w:val="09445E95"/>
    <w:rsid w:val="09543B3B"/>
    <w:rsid w:val="09576B32"/>
    <w:rsid w:val="09600FBD"/>
    <w:rsid w:val="096B51F8"/>
    <w:rsid w:val="0972595C"/>
    <w:rsid w:val="098143BC"/>
    <w:rsid w:val="098500F1"/>
    <w:rsid w:val="0992510E"/>
    <w:rsid w:val="09934C95"/>
    <w:rsid w:val="09BD407A"/>
    <w:rsid w:val="09BF0A40"/>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73B06"/>
    <w:rsid w:val="0A9B4F7F"/>
    <w:rsid w:val="0A9C263A"/>
    <w:rsid w:val="0A9D54CD"/>
    <w:rsid w:val="0A9E3D3D"/>
    <w:rsid w:val="0AA077E0"/>
    <w:rsid w:val="0AC01F88"/>
    <w:rsid w:val="0AC0212C"/>
    <w:rsid w:val="0AC3085F"/>
    <w:rsid w:val="0AC80F1B"/>
    <w:rsid w:val="0AD542C1"/>
    <w:rsid w:val="0ADD5A20"/>
    <w:rsid w:val="0AE10FD9"/>
    <w:rsid w:val="0AF13898"/>
    <w:rsid w:val="0AFB3228"/>
    <w:rsid w:val="0AFC6C07"/>
    <w:rsid w:val="0AFE5115"/>
    <w:rsid w:val="0B0130D7"/>
    <w:rsid w:val="0B0250FD"/>
    <w:rsid w:val="0B0F025C"/>
    <w:rsid w:val="0B1A6333"/>
    <w:rsid w:val="0B206C06"/>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9739A"/>
    <w:rsid w:val="0BCB7BF7"/>
    <w:rsid w:val="0BCC4043"/>
    <w:rsid w:val="0BCC4B6A"/>
    <w:rsid w:val="0BDA6061"/>
    <w:rsid w:val="0BE2291A"/>
    <w:rsid w:val="0C1E494F"/>
    <w:rsid w:val="0C3128FC"/>
    <w:rsid w:val="0C3427D0"/>
    <w:rsid w:val="0C34372E"/>
    <w:rsid w:val="0C43327D"/>
    <w:rsid w:val="0C4426AF"/>
    <w:rsid w:val="0C453647"/>
    <w:rsid w:val="0C4577EC"/>
    <w:rsid w:val="0C4F3B0E"/>
    <w:rsid w:val="0C4F7881"/>
    <w:rsid w:val="0C5C6396"/>
    <w:rsid w:val="0C63431B"/>
    <w:rsid w:val="0C650A20"/>
    <w:rsid w:val="0C690EFA"/>
    <w:rsid w:val="0C6E11B8"/>
    <w:rsid w:val="0C723CD1"/>
    <w:rsid w:val="0C825F28"/>
    <w:rsid w:val="0C8B63A3"/>
    <w:rsid w:val="0CB94808"/>
    <w:rsid w:val="0CC146A9"/>
    <w:rsid w:val="0CC37BC2"/>
    <w:rsid w:val="0CD87ABE"/>
    <w:rsid w:val="0CE26C42"/>
    <w:rsid w:val="0CE632FF"/>
    <w:rsid w:val="0CE76B48"/>
    <w:rsid w:val="0CEB5DBE"/>
    <w:rsid w:val="0CFB523A"/>
    <w:rsid w:val="0D074D4A"/>
    <w:rsid w:val="0D0A3371"/>
    <w:rsid w:val="0D17377F"/>
    <w:rsid w:val="0D1B1E9C"/>
    <w:rsid w:val="0D4B44A1"/>
    <w:rsid w:val="0D6811B4"/>
    <w:rsid w:val="0D6E2620"/>
    <w:rsid w:val="0D704E21"/>
    <w:rsid w:val="0D7559C6"/>
    <w:rsid w:val="0D7F48FE"/>
    <w:rsid w:val="0D883C88"/>
    <w:rsid w:val="0D936E72"/>
    <w:rsid w:val="0D966BF7"/>
    <w:rsid w:val="0DB54F84"/>
    <w:rsid w:val="0DCC3AE8"/>
    <w:rsid w:val="0DD87842"/>
    <w:rsid w:val="0DEF012A"/>
    <w:rsid w:val="0DF202E1"/>
    <w:rsid w:val="0DF53CE3"/>
    <w:rsid w:val="0E0961C5"/>
    <w:rsid w:val="0E147898"/>
    <w:rsid w:val="0E2F216B"/>
    <w:rsid w:val="0E2F2859"/>
    <w:rsid w:val="0E3352C6"/>
    <w:rsid w:val="0E3A5EE2"/>
    <w:rsid w:val="0E3C0F13"/>
    <w:rsid w:val="0E542F3B"/>
    <w:rsid w:val="0E5757F7"/>
    <w:rsid w:val="0E5A14B8"/>
    <w:rsid w:val="0E6271DF"/>
    <w:rsid w:val="0E81568A"/>
    <w:rsid w:val="0E942250"/>
    <w:rsid w:val="0E963344"/>
    <w:rsid w:val="0E9E6E00"/>
    <w:rsid w:val="0EA40C1C"/>
    <w:rsid w:val="0EAF381F"/>
    <w:rsid w:val="0EB1120F"/>
    <w:rsid w:val="0EB72E4B"/>
    <w:rsid w:val="0EC80AE4"/>
    <w:rsid w:val="0ED808FC"/>
    <w:rsid w:val="0EEC6F1D"/>
    <w:rsid w:val="0F103291"/>
    <w:rsid w:val="0F15660A"/>
    <w:rsid w:val="0F1D498B"/>
    <w:rsid w:val="0F1E7CA0"/>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30A3B"/>
    <w:rsid w:val="0FC424B9"/>
    <w:rsid w:val="0FD70565"/>
    <w:rsid w:val="0FEB2F72"/>
    <w:rsid w:val="0FEC680C"/>
    <w:rsid w:val="10007AD6"/>
    <w:rsid w:val="10165177"/>
    <w:rsid w:val="101B1E8A"/>
    <w:rsid w:val="101C4A03"/>
    <w:rsid w:val="101D0C86"/>
    <w:rsid w:val="103005B7"/>
    <w:rsid w:val="104A023B"/>
    <w:rsid w:val="10501493"/>
    <w:rsid w:val="10505F3B"/>
    <w:rsid w:val="106319D6"/>
    <w:rsid w:val="10677613"/>
    <w:rsid w:val="106D2686"/>
    <w:rsid w:val="107C3E2C"/>
    <w:rsid w:val="107D41AE"/>
    <w:rsid w:val="108C2479"/>
    <w:rsid w:val="109825ED"/>
    <w:rsid w:val="10C715C5"/>
    <w:rsid w:val="10D335EF"/>
    <w:rsid w:val="10E746EA"/>
    <w:rsid w:val="10E83FE0"/>
    <w:rsid w:val="10EC3168"/>
    <w:rsid w:val="10EE449D"/>
    <w:rsid w:val="10F52718"/>
    <w:rsid w:val="11124F2E"/>
    <w:rsid w:val="11125358"/>
    <w:rsid w:val="111F6CBE"/>
    <w:rsid w:val="112D2A42"/>
    <w:rsid w:val="113A22DB"/>
    <w:rsid w:val="114028DC"/>
    <w:rsid w:val="11441C15"/>
    <w:rsid w:val="1159252B"/>
    <w:rsid w:val="1160765D"/>
    <w:rsid w:val="116F1EB0"/>
    <w:rsid w:val="11747E61"/>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3666FE"/>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64C08"/>
    <w:rsid w:val="12C7312B"/>
    <w:rsid w:val="12D22971"/>
    <w:rsid w:val="12D85654"/>
    <w:rsid w:val="12DF4A87"/>
    <w:rsid w:val="12E265EC"/>
    <w:rsid w:val="12E706B5"/>
    <w:rsid w:val="12EE5106"/>
    <w:rsid w:val="12F777F2"/>
    <w:rsid w:val="1307341C"/>
    <w:rsid w:val="130909CE"/>
    <w:rsid w:val="130C40FE"/>
    <w:rsid w:val="130E3629"/>
    <w:rsid w:val="131B39DD"/>
    <w:rsid w:val="13241CB2"/>
    <w:rsid w:val="13283BA4"/>
    <w:rsid w:val="13332F77"/>
    <w:rsid w:val="13334E1C"/>
    <w:rsid w:val="13346EE4"/>
    <w:rsid w:val="13384952"/>
    <w:rsid w:val="13410715"/>
    <w:rsid w:val="134D0F27"/>
    <w:rsid w:val="1355107F"/>
    <w:rsid w:val="135D4D2E"/>
    <w:rsid w:val="1366638D"/>
    <w:rsid w:val="1369011A"/>
    <w:rsid w:val="136D76E8"/>
    <w:rsid w:val="137266E0"/>
    <w:rsid w:val="13811975"/>
    <w:rsid w:val="139427E2"/>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D342A"/>
    <w:rsid w:val="1559587F"/>
    <w:rsid w:val="15740334"/>
    <w:rsid w:val="1574662E"/>
    <w:rsid w:val="15751882"/>
    <w:rsid w:val="1575191B"/>
    <w:rsid w:val="157818C6"/>
    <w:rsid w:val="159F73BB"/>
    <w:rsid w:val="15A74F1D"/>
    <w:rsid w:val="15B03F28"/>
    <w:rsid w:val="15C15E25"/>
    <w:rsid w:val="15C42571"/>
    <w:rsid w:val="15E30A80"/>
    <w:rsid w:val="15F334EC"/>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331E4"/>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65848"/>
    <w:rsid w:val="17E66DD8"/>
    <w:rsid w:val="17E84839"/>
    <w:rsid w:val="17EE1403"/>
    <w:rsid w:val="17F25234"/>
    <w:rsid w:val="17FD061B"/>
    <w:rsid w:val="17FD20FD"/>
    <w:rsid w:val="17FF6314"/>
    <w:rsid w:val="18005F41"/>
    <w:rsid w:val="18025414"/>
    <w:rsid w:val="18167041"/>
    <w:rsid w:val="18171305"/>
    <w:rsid w:val="1829280B"/>
    <w:rsid w:val="18334194"/>
    <w:rsid w:val="183E1D37"/>
    <w:rsid w:val="184D0787"/>
    <w:rsid w:val="185D1883"/>
    <w:rsid w:val="185E3AA1"/>
    <w:rsid w:val="18601A95"/>
    <w:rsid w:val="18717152"/>
    <w:rsid w:val="18812331"/>
    <w:rsid w:val="18816F1C"/>
    <w:rsid w:val="18847050"/>
    <w:rsid w:val="18853F3E"/>
    <w:rsid w:val="188F3639"/>
    <w:rsid w:val="18956393"/>
    <w:rsid w:val="18A8582C"/>
    <w:rsid w:val="18B50543"/>
    <w:rsid w:val="18CA40C3"/>
    <w:rsid w:val="18CD7A02"/>
    <w:rsid w:val="18D904AC"/>
    <w:rsid w:val="18F94206"/>
    <w:rsid w:val="19001FFC"/>
    <w:rsid w:val="19083894"/>
    <w:rsid w:val="190E2B4A"/>
    <w:rsid w:val="19256D7A"/>
    <w:rsid w:val="193275C2"/>
    <w:rsid w:val="19342CF4"/>
    <w:rsid w:val="193A500F"/>
    <w:rsid w:val="193B3E86"/>
    <w:rsid w:val="194D2005"/>
    <w:rsid w:val="19655A52"/>
    <w:rsid w:val="19663168"/>
    <w:rsid w:val="197724BD"/>
    <w:rsid w:val="19786B0A"/>
    <w:rsid w:val="198A41A1"/>
    <w:rsid w:val="199A2059"/>
    <w:rsid w:val="19AE76C7"/>
    <w:rsid w:val="19B46E10"/>
    <w:rsid w:val="19C1344A"/>
    <w:rsid w:val="19C456C1"/>
    <w:rsid w:val="19E256B5"/>
    <w:rsid w:val="19E31BCE"/>
    <w:rsid w:val="19E54655"/>
    <w:rsid w:val="19F061A1"/>
    <w:rsid w:val="1A054259"/>
    <w:rsid w:val="1A081816"/>
    <w:rsid w:val="1A0C5680"/>
    <w:rsid w:val="1A165171"/>
    <w:rsid w:val="1A300FA7"/>
    <w:rsid w:val="1A3068A4"/>
    <w:rsid w:val="1A4858FF"/>
    <w:rsid w:val="1A4C698A"/>
    <w:rsid w:val="1A4D778D"/>
    <w:rsid w:val="1A5048C3"/>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B04002"/>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04D40"/>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3305FF"/>
    <w:rsid w:val="1D395282"/>
    <w:rsid w:val="1D4251BA"/>
    <w:rsid w:val="1D5B2FF2"/>
    <w:rsid w:val="1D5F5386"/>
    <w:rsid w:val="1D7072CE"/>
    <w:rsid w:val="1D794A16"/>
    <w:rsid w:val="1D8A021B"/>
    <w:rsid w:val="1D9E080A"/>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A2E8E"/>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849A2"/>
    <w:rsid w:val="1F3E662A"/>
    <w:rsid w:val="1F4F2219"/>
    <w:rsid w:val="1F614D01"/>
    <w:rsid w:val="1F721405"/>
    <w:rsid w:val="1F935819"/>
    <w:rsid w:val="1FA6556D"/>
    <w:rsid w:val="1FAF2571"/>
    <w:rsid w:val="1FC55EDA"/>
    <w:rsid w:val="1FCE593C"/>
    <w:rsid w:val="1FE312AC"/>
    <w:rsid w:val="1FEC5915"/>
    <w:rsid w:val="1FED32EF"/>
    <w:rsid w:val="1FF82884"/>
    <w:rsid w:val="201E6D7C"/>
    <w:rsid w:val="20320DD3"/>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35A8"/>
    <w:rsid w:val="21124D15"/>
    <w:rsid w:val="21164A79"/>
    <w:rsid w:val="211C7DEA"/>
    <w:rsid w:val="213844A1"/>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06C6B"/>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26706"/>
    <w:rsid w:val="25734B61"/>
    <w:rsid w:val="258F6BC4"/>
    <w:rsid w:val="2597510C"/>
    <w:rsid w:val="25975923"/>
    <w:rsid w:val="259A3D0A"/>
    <w:rsid w:val="25A95F3E"/>
    <w:rsid w:val="25BF0CF9"/>
    <w:rsid w:val="25BF6041"/>
    <w:rsid w:val="25C35718"/>
    <w:rsid w:val="25C61D8C"/>
    <w:rsid w:val="25C8433B"/>
    <w:rsid w:val="25CF0252"/>
    <w:rsid w:val="25D0248E"/>
    <w:rsid w:val="25D61C5C"/>
    <w:rsid w:val="25F81D70"/>
    <w:rsid w:val="25FB5636"/>
    <w:rsid w:val="25FE58A9"/>
    <w:rsid w:val="26006FFE"/>
    <w:rsid w:val="26026DCF"/>
    <w:rsid w:val="26070462"/>
    <w:rsid w:val="260C70BF"/>
    <w:rsid w:val="260D2C45"/>
    <w:rsid w:val="262E3CBF"/>
    <w:rsid w:val="26395C92"/>
    <w:rsid w:val="2641231E"/>
    <w:rsid w:val="264252DF"/>
    <w:rsid w:val="26465DA0"/>
    <w:rsid w:val="26562F1C"/>
    <w:rsid w:val="265A5249"/>
    <w:rsid w:val="266237C3"/>
    <w:rsid w:val="267550B9"/>
    <w:rsid w:val="26945790"/>
    <w:rsid w:val="26A97E18"/>
    <w:rsid w:val="26BE1846"/>
    <w:rsid w:val="26C472EC"/>
    <w:rsid w:val="26C976F9"/>
    <w:rsid w:val="26CC63A2"/>
    <w:rsid w:val="26E51F4F"/>
    <w:rsid w:val="26EC491A"/>
    <w:rsid w:val="26ED73E1"/>
    <w:rsid w:val="26F503CD"/>
    <w:rsid w:val="27036506"/>
    <w:rsid w:val="27047832"/>
    <w:rsid w:val="2706037D"/>
    <w:rsid w:val="270D152E"/>
    <w:rsid w:val="27204B5D"/>
    <w:rsid w:val="27257DE1"/>
    <w:rsid w:val="272F31A0"/>
    <w:rsid w:val="27310CAC"/>
    <w:rsid w:val="27342901"/>
    <w:rsid w:val="273D2762"/>
    <w:rsid w:val="273D5D0B"/>
    <w:rsid w:val="27470B72"/>
    <w:rsid w:val="27525E32"/>
    <w:rsid w:val="275359B6"/>
    <w:rsid w:val="27604751"/>
    <w:rsid w:val="276D111F"/>
    <w:rsid w:val="2778582E"/>
    <w:rsid w:val="27806765"/>
    <w:rsid w:val="27821DE7"/>
    <w:rsid w:val="27832596"/>
    <w:rsid w:val="278C1620"/>
    <w:rsid w:val="279B1E53"/>
    <w:rsid w:val="27AA3521"/>
    <w:rsid w:val="27AB7429"/>
    <w:rsid w:val="27B40ACB"/>
    <w:rsid w:val="27C46B1C"/>
    <w:rsid w:val="27C57B2B"/>
    <w:rsid w:val="27C8029E"/>
    <w:rsid w:val="27CC78AC"/>
    <w:rsid w:val="27D72FE7"/>
    <w:rsid w:val="27D86029"/>
    <w:rsid w:val="27DD45ED"/>
    <w:rsid w:val="27DF41DE"/>
    <w:rsid w:val="27E3651B"/>
    <w:rsid w:val="27E864CC"/>
    <w:rsid w:val="27EC25E3"/>
    <w:rsid w:val="27ED0939"/>
    <w:rsid w:val="27F1498B"/>
    <w:rsid w:val="27F47299"/>
    <w:rsid w:val="27F80CA0"/>
    <w:rsid w:val="28027A71"/>
    <w:rsid w:val="281D5376"/>
    <w:rsid w:val="281F4F67"/>
    <w:rsid w:val="282665C5"/>
    <w:rsid w:val="282857E6"/>
    <w:rsid w:val="283412EF"/>
    <w:rsid w:val="283744B4"/>
    <w:rsid w:val="283E7768"/>
    <w:rsid w:val="28485D62"/>
    <w:rsid w:val="28517107"/>
    <w:rsid w:val="28524ABE"/>
    <w:rsid w:val="285560D7"/>
    <w:rsid w:val="285729E6"/>
    <w:rsid w:val="286E74F1"/>
    <w:rsid w:val="28760CA0"/>
    <w:rsid w:val="287B218C"/>
    <w:rsid w:val="288A05DD"/>
    <w:rsid w:val="288C7637"/>
    <w:rsid w:val="28937D89"/>
    <w:rsid w:val="289B0550"/>
    <w:rsid w:val="28BD3F79"/>
    <w:rsid w:val="28C8606D"/>
    <w:rsid w:val="28C96C14"/>
    <w:rsid w:val="28DE11F1"/>
    <w:rsid w:val="28E138E3"/>
    <w:rsid w:val="28E74216"/>
    <w:rsid w:val="28E87EE4"/>
    <w:rsid w:val="28EE1AFF"/>
    <w:rsid w:val="290212AC"/>
    <w:rsid w:val="2903396A"/>
    <w:rsid w:val="29086A76"/>
    <w:rsid w:val="294D775A"/>
    <w:rsid w:val="294E766A"/>
    <w:rsid w:val="29502116"/>
    <w:rsid w:val="2952590A"/>
    <w:rsid w:val="297161D3"/>
    <w:rsid w:val="2978319A"/>
    <w:rsid w:val="29886D49"/>
    <w:rsid w:val="29897A2F"/>
    <w:rsid w:val="299114C1"/>
    <w:rsid w:val="29A015B3"/>
    <w:rsid w:val="29A02DFF"/>
    <w:rsid w:val="29A3014B"/>
    <w:rsid w:val="29A74CBD"/>
    <w:rsid w:val="29A80BF5"/>
    <w:rsid w:val="29B01C34"/>
    <w:rsid w:val="29B16357"/>
    <w:rsid w:val="29BA0D88"/>
    <w:rsid w:val="29BB3E72"/>
    <w:rsid w:val="29CF32B2"/>
    <w:rsid w:val="29DE15A2"/>
    <w:rsid w:val="29E52B9B"/>
    <w:rsid w:val="29EC475A"/>
    <w:rsid w:val="29EF3680"/>
    <w:rsid w:val="29EF424E"/>
    <w:rsid w:val="29FA7F26"/>
    <w:rsid w:val="2A0B7871"/>
    <w:rsid w:val="2A166823"/>
    <w:rsid w:val="2A1D7380"/>
    <w:rsid w:val="2A281D4E"/>
    <w:rsid w:val="2A35650F"/>
    <w:rsid w:val="2A405845"/>
    <w:rsid w:val="2A4562D4"/>
    <w:rsid w:val="2A4D593F"/>
    <w:rsid w:val="2A6C2D77"/>
    <w:rsid w:val="2A6E31F8"/>
    <w:rsid w:val="2A7270B7"/>
    <w:rsid w:val="2A87174E"/>
    <w:rsid w:val="2A8A2F9C"/>
    <w:rsid w:val="2A917BFC"/>
    <w:rsid w:val="2AA33701"/>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B0D49"/>
    <w:rsid w:val="2B5E6C2A"/>
    <w:rsid w:val="2B637D4B"/>
    <w:rsid w:val="2B6B1684"/>
    <w:rsid w:val="2B7B70BF"/>
    <w:rsid w:val="2B853AF3"/>
    <w:rsid w:val="2B8B422C"/>
    <w:rsid w:val="2BA07D38"/>
    <w:rsid w:val="2BAB2B55"/>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CEF7A51"/>
    <w:rsid w:val="2D026315"/>
    <w:rsid w:val="2D0764BD"/>
    <w:rsid w:val="2D0A3DA2"/>
    <w:rsid w:val="2D0B3169"/>
    <w:rsid w:val="2D0D4219"/>
    <w:rsid w:val="2D105AFA"/>
    <w:rsid w:val="2D2279B8"/>
    <w:rsid w:val="2D241EC9"/>
    <w:rsid w:val="2D274320"/>
    <w:rsid w:val="2D2D2DE2"/>
    <w:rsid w:val="2D324CCC"/>
    <w:rsid w:val="2D340E86"/>
    <w:rsid w:val="2D395427"/>
    <w:rsid w:val="2D3D0E02"/>
    <w:rsid w:val="2D5436FA"/>
    <w:rsid w:val="2D59263A"/>
    <w:rsid w:val="2D620933"/>
    <w:rsid w:val="2D62469E"/>
    <w:rsid w:val="2D6B40A9"/>
    <w:rsid w:val="2D8A3FA2"/>
    <w:rsid w:val="2D910146"/>
    <w:rsid w:val="2D9767DC"/>
    <w:rsid w:val="2D980DDC"/>
    <w:rsid w:val="2D987372"/>
    <w:rsid w:val="2DA23689"/>
    <w:rsid w:val="2DBC2A76"/>
    <w:rsid w:val="2DC20BE9"/>
    <w:rsid w:val="2DC66A91"/>
    <w:rsid w:val="2DC92AA1"/>
    <w:rsid w:val="2DCE5F69"/>
    <w:rsid w:val="2DD51812"/>
    <w:rsid w:val="2DD63DB4"/>
    <w:rsid w:val="2DDD4F0A"/>
    <w:rsid w:val="2E147A92"/>
    <w:rsid w:val="2E34792A"/>
    <w:rsid w:val="2E415DD8"/>
    <w:rsid w:val="2E437E73"/>
    <w:rsid w:val="2E4A5201"/>
    <w:rsid w:val="2E5034DC"/>
    <w:rsid w:val="2E572AB9"/>
    <w:rsid w:val="2E7258DC"/>
    <w:rsid w:val="2E7545D2"/>
    <w:rsid w:val="2E79458E"/>
    <w:rsid w:val="2E797A78"/>
    <w:rsid w:val="2E7A5F31"/>
    <w:rsid w:val="2E7C6A94"/>
    <w:rsid w:val="2E8321A5"/>
    <w:rsid w:val="2E882F25"/>
    <w:rsid w:val="2E8D14A8"/>
    <w:rsid w:val="2E95430E"/>
    <w:rsid w:val="2E9F6D95"/>
    <w:rsid w:val="2EAE350B"/>
    <w:rsid w:val="2EB20A6C"/>
    <w:rsid w:val="2EBC2287"/>
    <w:rsid w:val="2EC3466D"/>
    <w:rsid w:val="2EC44440"/>
    <w:rsid w:val="2ECA3116"/>
    <w:rsid w:val="2EDC7B3B"/>
    <w:rsid w:val="2EDD7896"/>
    <w:rsid w:val="2EEA6E65"/>
    <w:rsid w:val="2EF33C7C"/>
    <w:rsid w:val="2F00052B"/>
    <w:rsid w:val="2F0367CD"/>
    <w:rsid w:val="2F1251F2"/>
    <w:rsid w:val="2F2D445E"/>
    <w:rsid w:val="2F4B20A5"/>
    <w:rsid w:val="2F4F6FBB"/>
    <w:rsid w:val="2F664E2B"/>
    <w:rsid w:val="2F6C7BE3"/>
    <w:rsid w:val="2F783485"/>
    <w:rsid w:val="2F7A17CB"/>
    <w:rsid w:val="2F7F5C0B"/>
    <w:rsid w:val="2FA6492D"/>
    <w:rsid w:val="2FC86676"/>
    <w:rsid w:val="2FD17A1B"/>
    <w:rsid w:val="2FD71CA4"/>
    <w:rsid w:val="2FDC4A8D"/>
    <w:rsid w:val="2FEA743A"/>
    <w:rsid w:val="2FF24D11"/>
    <w:rsid w:val="2FF93066"/>
    <w:rsid w:val="300D2E03"/>
    <w:rsid w:val="301742B2"/>
    <w:rsid w:val="301A1509"/>
    <w:rsid w:val="301A71CE"/>
    <w:rsid w:val="301D63DD"/>
    <w:rsid w:val="301E049B"/>
    <w:rsid w:val="302A4BE6"/>
    <w:rsid w:val="303E0D88"/>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2734EB"/>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51680"/>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BD5148"/>
    <w:rsid w:val="32C27AB5"/>
    <w:rsid w:val="32DF351E"/>
    <w:rsid w:val="32EA3DF5"/>
    <w:rsid w:val="32EE5E41"/>
    <w:rsid w:val="32F1510B"/>
    <w:rsid w:val="32F40F87"/>
    <w:rsid w:val="32F520B9"/>
    <w:rsid w:val="32FD7C76"/>
    <w:rsid w:val="330C22FC"/>
    <w:rsid w:val="33540E5D"/>
    <w:rsid w:val="335659F7"/>
    <w:rsid w:val="335A0521"/>
    <w:rsid w:val="335E7B11"/>
    <w:rsid w:val="3364318B"/>
    <w:rsid w:val="33691888"/>
    <w:rsid w:val="336A499A"/>
    <w:rsid w:val="33714830"/>
    <w:rsid w:val="33737F51"/>
    <w:rsid w:val="337964FF"/>
    <w:rsid w:val="337D34FB"/>
    <w:rsid w:val="337E2DAF"/>
    <w:rsid w:val="33831AB1"/>
    <w:rsid w:val="33A47053"/>
    <w:rsid w:val="33AD5111"/>
    <w:rsid w:val="33BF4199"/>
    <w:rsid w:val="33CD23A8"/>
    <w:rsid w:val="33CD6498"/>
    <w:rsid w:val="33D7554F"/>
    <w:rsid w:val="33FE62E7"/>
    <w:rsid w:val="340523CF"/>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43603"/>
    <w:rsid w:val="34BD02AE"/>
    <w:rsid w:val="34C20DC7"/>
    <w:rsid w:val="34D36FFC"/>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940A95"/>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90D92"/>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B7702"/>
    <w:rsid w:val="379F33FC"/>
    <w:rsid w:val="37A432E4"/>
    <w:rsid w:val="37A86196"/>
    <w:rsid w:val="37C94031"/>
    <w:rsid w:val="37CA042E"/>
    <w:rsid w:val="37D44549"/>
    <w:rsid w:val="37D77B09"/>
    <w:rsid w:val="37D97EDE"/>
    <w:rsid w:val="37E76E34"/>
    <w:rsid w:val="380632B2"/>
    <w:rsid w:val="380D02B1"/>
    <w:rsid w:val="381C3EB1"/>
    <w:rsid w:val="382B1BDF"/>
    <w:rsid w:val="382E392C"/>
    <w:rsid w:val="38342E90"/>
    <w:rsid w:val="383F4C0F"/>
    <w:rsid w:val="38432A4A"/>
    <w:rsid w:val="38451B7E"/>
    <w:rsid w:val="384B7332"/>
    <w:rsid w:val="385056AF"/>
    <w:rsid w:val="386A7142"/>
    <w:rsid w:val="386E0B2C"/>
    <w:rsid w:val="38706DCB"/>
    <w:rsid w:val="388E5848"/>
    <w:rsid w:val="389E7B13"/>
    <w:rsid w:val="38A341A7"/>
    <w:rsid w:val="38AF6B7E"/>
    <w:rsid w:val="38AF7ADB"/>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C6FD7"/>
    <w:rsid w:val="3A3F47CE"/>
    <w:rsid w:val="3A4E1C5D"/>
    <w:rsid w:val="3A523735"/>
    <w:rsid w:val="3A557AE4"/>
    <w:rsid w:val="3A6A1C93"/>
    <w:rsid w:val="3A6B0F84"/>
    <w:rsid w:val="3A727435"/>
    <w:rsid w:val="3A813EA6"/>
    <w:rsid w:val="3A94055A"/>
    <w:rsid w:val="3AB00167"/>
    <w:rsid w:val="3ABD44D8"/>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09C3"/>
    <w:rsid w:val="3BA03B83"/>
    <w:rsid w:val="3BA91F03"/>
    <w:rsid w:val="3BB16FA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115DF3"/>
    <w:rsid w:val="3D31576C"/>
    <w:rsid w:val="3D316CDB"/>
    <w:rsid w:val="3D3A3838"/>
    <w:rsid w:val="3D3D6BBD"/>
    <w:rsid w:val="3D450F8C"/>
    <w:rsid w:val="3D477118"/>
    <w:rsid w:val="3D490F48"/>
    <w:rsid w:val="3D51285A"/>
    <w:rsid w:val="3D594E54"/>
    <w:rsid w:val="3D62706F"/>
    <w:rsid w:val="3D6E2272"/>
    <w:rsid w:val="3D7C727A"/>
    <w:rsid w:val="3D81786B"/>
    <w:rsid w:val="3D830417"/>
    <w:rsid w:val="3D873EC9"/>
    <w:rsid w:val="3D877AC5"/>
    <w:rsid w:val="3D882D35"/>
    <w:rsid w:val="3D8D2848"/>
    <w:rsid w:val="3D94235D"/>
    <w:rsid w:val="3D9461E1"/>
    <w:rsid w:val="3D9E1818"/>
    <w:rsid w:val="3DAF37B0"/>
    <w:rsid w:val="3DB34E86"/>
    <w:rsid w:val="3DB4514D"/>
    <w:rsid w:val="3DB80A86"/>
    <w:rsid w:val="3DBE6A34"/>
    <w:rsid w:val="3DC00481"/>
    <w:rsid w:val="3DC03EB2"/>
    <w:rsid w:val="3DED0F96"/>
    <w:rsid w:val="3DF95812"/>
    <w:rsid w:val="3E0040D9"/>
    <w:rsid w:val="3E080FFB"/>
    <w:rsid w:val="3E1D4B24"/>
    <w:rsid w:val="3E314520"/>
    <w:rsid w:val="3E3A04FA"/>
    <w:rsid w:val="3E3D6B96"/>
    <w:rsid w:val="3E441C7D"/>
    <w:rsid w:val="3E490256"/>
    <w:rsid w:val="3E4C2EC5"/>
    <w:rsid w:val="3E55739E"/>
    <w:rsid w:val="3E6C43C8"/>
    <w:rsid w:val="3E8227F0"/>
    <w:rsid w:val="3E937F82"/>
    <w:rsid w:val="3E996E92"/>
    <w:rsid w:val="3E9B4B40"/>
    <w:rsid w:val="3EA21C38"/>
    <w:rsid w:val="3EB36EF2"/>
    <w:rsid w:val="3EB71AC8"/>
    <w:rsid w:val="3EC85E34"/>
    <w:rsid w:val="3ECF2AAC"/>
    <w:rsid w:val="3ED0424C"/>
    <w:rsid w:val="3ED07B7E"/>
    <w:rsid w:val="3EF31E7F"/>
    <w:rsid w:val="3EF36DF0"/>
    <w:rsid w:val="3F035EE1"/>
    <w:rsid w:val="3F05062C"/>
    <w:rsid w:val="3F053EF6"/>
    <w:rsid w:val="3F093188"/>
    <w:rsid w:val="3F0C1E13"/>
    <w:rsid w:val="3F173F6B"/>
    <w:rsid w:val="3F1E1DE8"/>
    <w:rsid w:val="3F253B0C"/>
    <w:rsid w:val="3F2C04C4"/>
    <w:rsid w:val="3F3E7C9F"/>
    <w:rsid w:val="3F416B99"/>
    <w:rsid w:val="3F4F5AD7"/>
    <w:rsid w:val="3F643908"/>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43CD0"/>
    <w:rsid w:val="3FC956FF"/>
    <w:rsid w:val="3FD13F50"/>
    <w:rsid w:val="3FDC5F31"/>
    <w:rsid w:val="3FE04625"/>
    <w:rsid w:val="3FE43F69"/>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1E59"/>
    <w:rsid w:val="41146D26"/>
    <w:rsid w:val="411B6EDC"/>
    <w:rsid w:val="412E5302"/>
    <w:rsid w:val="413353F1"/>
    <w:rsid w:val="413B37AC"/>
    <w:rsid w:val="414C0B0E"/>
    <w:rsid w:val="41513BC9"/>
    <w:rsid w:val="41735B7F"/>
    <w:rsid w:val="419302E2"/>
    <w:rsid w:val="419E558F"/>
    <w:rsid w:val="419E60D3"/>
    <w:rsid w:val="41A339F5"/>
    <w:rsid w:val="41A36C7E"/>
    <w:rsid w:val="41C45B38"/>
    <w:rsid w:val="41C93F6C"/>
    <w:rsid w:val="41D5139D"/>
    <w:rsid w:val="41D75714"/>
    <w:rsid w:val="41DD3BC3"/>
    <w:rsid w:val="41EA5D0A"/>
    <w:rsid w:val="41EE2F03"/>
    <w:rsid w:val="41F466FD"/>
    <w:rsid w:val="42002BC7"/>
    <w:rsid w:val="42026B03"/>
    <w:rsid w:val="420C60D5"/>
    <w:rsid w:val="420D197F"/>
    <w:rsid w:val="42130DE5"/>
    <w:rsid w:val="421502AC"/>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E674DE"/>
    <w:rsid w:val="42F17BF5"/>
    <w:rsid w:val="42F87EC9"/>
    <w:rsid w:val="42FA45BF"/>
    <w:rsid w:val="43057E25"/>
    <w:rsid w:val="430E7E66"/>
    <w:rsid w:val="43296963"/>
    <w:rsid w:val="4332317A"/>
    <w:rsid w:val="433246A0"/>
    <w:rsid w:val="433A3905"/>
    <w:rsid w:val="433F6B54"/>
    <w:rsid w:val="4346543A"/>
    <w:rsid w:val="43533E29"/>
    <w:rsid w:val="435B1259"/>
    <w:rsid w:val="436263D5"/>
    <w:rsid w:val="437556C4"/>
    <w:rsid w:val="4383474C"/>
    <w:rsid w:val="43874CD4"/>
    <w:rsid w:val="439B699F"/>
    <w:rsid w:val="439D3E18"/>
    <w:rsid w:val="43AF2D32"/>
    <w:rsid w:val="43B13512"/>
    <w:rsid w:val="43B76E4F"/>
    <w:rsid w:val="43CF0206"/>
    <w:rsid w:val="43D50BA1"/>
    <w:rsid w:val="43D85D6D"/>
    <w:rsid w:val="43EC6F1F"/>
    <w:rsid w:val="43F31867"/>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4F17B41"/>
    <w:rsid w:val="4505281D"/>
    <w:rsid w:val="45162B93"/>
    <w:rsid w:val="45234E43"/>
    <w:rsid w:val="45275172"/>
    <w:rsid w:val="45332511"/>
    <w:rsid w:val="45370B65"/>
    <w:rsid w:val="453F44DA"/>
    <w:rsid w:val="45412C46"/>
    <w:rsid w:val="45514AD5"/>
    <w:rsid w:val="4552412E"/>
    <w:rsid w:val="45570907"/>
    <w:rsid w:val="455908C0"/>
    <w:rsid w:val="45743BE6"/>
    <w:rsid w:val="4575513B"/>
    <w:rsid w:val="45761EDD"/>
    <w:rsid w:val="457A7286"/>
    <w:rsid w:val="457B06AA"/>
    <w:rsid w:val="457C7D39"/>
    <w:rsid w:val="458667C4"/>
    <w:rsid w:val="45876523"/>
    <w:rsid w:val="458F5163"/>
    <w:rsid w:val="459405E3"/>
    <w:rsid w:val="459C5A47"/>
    <w:rsid w:val="45A82F38"/>
    <w:rsid w:val="45B047D1"/>
    <w:rsid w:val="45B77545"/>
    <w:rsid w:val="45BE6191"/>
    <w:rsid w:val="45BE648C"/>
    <w:rsid w:val="45C36621"/>
    <w:rsid w:val="45C661BC"/>
    <w:rsid w:val="45CA082F"/>
    <w:rsid w:val="45CD2126"/>
    <w:rsid w:val="45CF358A"/>
    <w:rsid w:val="45DD738A"/>
    <w:rsid w:val="45E372CD"/>
    <w:rsid w:val="45FB2D6A"/>
    <w:rsid w:val="46015310"/>
    <w:rsid w:val="460C5979"/>
    <w:rsid w:val="46110AB3"/>
    <w:rsid w:val="46143B66"/>
    <w:rsid w:val="4615371C"/>
    <w:rsid w:val="46214325"/>
    <w:rsid w:val="462374EC"/>
    <w:rsid w:val="463246EC"/>
    <w:rsid w:val="463425D3"/>
    <w:rsid w:val="463A3547"/>
    <w:rsid w:val="464B28C8"/>
    <w:rsid w:val="464E0973"/>
    <w:rsid w:val="46555DC3"/>
    <w:rsid w:val="46617DB2"/>
    <w:rsid w:val="46621065"/>
    <w:rsid w:val="46665198"/>
    <w:rsid w:val="46697236"/>
    <w:rsid w:val="46770F8B"/>
    <w:rsid w:val="467C16FA"/>
    <w:rsid w:val="46842633"/>
    <w:rsid w:val="46854094"/>
    <w:rsid w:val="46875964"/>
    <w:rsid w:val="46894B18"/>
    <w:rsid w:val="469448C6"/>
    <w:rsid w:val="46AB0067"/>
    <w:rsid w:val="46B80AF8"/>
    <w:rsid w:val="46D37F0B"/>
    <w:rsid w:val="46D71533"/>
    <w:rsid w:val="46E53335"/>
    <w:rsid w:val="46E544E3"/>
    <w:rsid w:val="46E87DBA"/>
    <w:rsid w:val="46EB3F4A"/>
    <w:rsid w:val="46EE15F6"/>
    <w:rsid w:val="46EE2CC7"/>
    <w:rsid w:val="46FA7468"/>
    <w:rsid w:val="470F7B86"/>
    <w:rsid w:val="47150A32"/>
    <w:rsid w:val="47155D89"/>
    <w:rsid w:val="473069AF"/>
    <w:rsid w:val="47356ECD"/>
    <w:rsid w:val="474A0EAF"/>
    <w:rsid w:val="474E50BE"/>
    <w:rsid w:val="476700F2"/>
    <w:rsid w:val="47696F9C"/>
    <w:rsid w:val="47714F1F"/>
    <w:rsid w:val="47725A17"/>
    <w:rsid w:val="477D3243"/>
    <w:rsid w:val="478821A1"/>
    <w:rsid w:val="479128A9"/>
    <w:rsid w:val="479319F6"/>
    <w:rsid w:val="47975EDC"/>
    <w:rsid w:val="47983B19"/>
    <w:rsid w:val="479E2C8A"/>
    <w:rsid w:val="47A3609D"/>
    <w:rsid w:val="47C01792"/>
    <w:rsid w:val="47C57A48"/>
    <w:rsid w:val="47D511BD"/>
    <w:rsid w:val="4808150F"/>
    <w:rsid w:val="480F51A8"/>
    <w:rsid w:val="481158B0"/>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11FB6"/>
    <w:rsid w:val="495217DF"/>
    <w:rsid w:val="4958367A"/>
    <w:rsid w:val="495F5D3B"/>
    <w:rsid w:val="4960425F"/>
    <w:rsid w:val="498A16CD"/>
    <w:rsid w:val="498A7FB5"/>
    <w:rsid w:val="499145D9"/>
    <w:rsid w:val="49A33C27"/>
    <w:rsid w:val="49A750B5"/>
    <w:rsid w:val="49B93B41"/>
    <w:rsid w:val="49BE07DA"/>
    <w:rsid w:val="49C32414"/>
    <w:rsid w:val="49C84AA0"/>
    <w:rsid w:val="49D135C5"/>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43476"/>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D0339A"/>
    <w:rsid w:val="4BEF5092"/>
    <w:rsid w:val="4BF32495"/>
    <w:rsid w:val="4BFA3FA2"/>
    <w:rsid w:val="4C1905D9"/>
    <w:rsid w:val="4C2910DF"/>
    <w:rsid w:val="4C2B4DDD"/>
    <w:rsid w:val="4C336177"/>
    <w:rsid w:val="4C471A55"/>
    <w:rsid w:val="4C562920"/>
    <w:rsid w:val="4C5D1F92"/>
    <w:rsid w:val="4C603F16"/>
    <w:rsid w:val="4C6262E0"/>
    <w:rsid w:val="4C6703A3"/>
    <w:rsid w:val="4C6D7518"/>
    <w:rsid w:val="4C6F0789"/>
    <w:rsid w:val="4C79282C"/>
    <w:rsid w:val="4C923A72"/>
    <w:rsid w:val="4CB531CC"/>
    <w:rsid w:val="4CB80C32"/>
    <w:rsid w:val="4CB96B0F"/>
    <w:rsid w:val="4CBD582C"/>
    <w:rsid w:val="4CC21369"/>
    <w:rsid w:val="4CE34E9F"/>
    <w:rsid w:val="4CF52D94"/>
    <w:rsid w:val="4D075911"/>
    <w:rsid w:val="4D0C6B0F"/>
    <w:rsid w:val="4D187B99"/>
    <w:rsid w:val="4D1D7E2A"/>
    <w:rsid w:val="4D231A3E"/>
    <w:rsid w:val="4D2822A5"/>
    <w:rsid w:val="4D4001E4"/>
    <w:rsid w:val="4D462159"/>
    <w:rsid w:val="4D47409F"/>
    <w:rsid w:val="4D525BE3"/>
    <w:rsid w:val="4D566017"/>
    <w:rsid w:val="4D6022FC"/>
    <w:rsid w:val="4D7D3EFB"/>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285975"/>
    <w:rsid w:val="4F2A7BF3"/>
    <w:rsid w:val="4F2E2624"/>
    <w:rsid w:val="4F4E1077"/>
    <w:rsid w:val="4F546156"/>
    <w:rsid w:val="4F783D62"/>
    <w:rsid w:val="4F844A99"/>
    <w:rsid w:val="4F94662C"/>
    <w:rsid w:val="4FB00163"/>
    <w:rsid w:val="4FB208E7"/>
    <w:rsid w:val="4FBB673E"/>
    <w:rsid w:val="4FE30332"/>
    <w:rsid w:val="4FE70BB4"/>
    <w:rsid w:val="4FE73C01"/>
    <w:rsid w:val="4FE76D51"/>
    <w:rsid w:val="4FE87C31"/>
    <w:rsid w:val="4FEE2DDE"/>
    <w:rsid w:val="4FF03F98"/>
    <w:rsid w:val="4FF14DCF"/>
    <w:rsid w:val="5008113B"/>
    <w:rsid w:val="500815B6"/>
    <w:rsid w:val="500B39BC"/>
    <w:rsid w:val="500C204A"/>
    <w:rsid w:val="50132725"/>
    <w:rsid w:val="50136801"/>
    <w:rsid w:val="501502DD"/>
    <w:rsid w:val="502173F8"/>
    <w:rsid w:val="5022123F"/>
    <w:rsid w:val="502B7315"/>
    <w:rsid w:val="503544CB"/>
    <w:rsid w:val="503E570B"/>
    <w:rsid w:val="503F32CF"/>
    <w:rsid w:val="503F62FD"/>
    <w:rsid w:val="5041152A"/>
    <w:rsid w:val="504C77D2"/>
    <w:rsid w:val="504F6377"/>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1577E"/>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1F04514"/>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90763"/>
    <w:rsid w:val="52B24D9E"/>
    <w:rsid w:val="52B3363A"/>
    <w:rsid w:val="52C4763C"/>
    <w:rsid w:val="52C552C3"/>
    <w:rsid w:val="52CE7860"/>
    <w:rsid w:val="52D102DF"/>
    <w:rsid w:val="52DE691D"/>
    <w:rsid w:val="52E04D27"/>
    <w:rsid w:val="52ED0C96"/>
    <w:rsid w:val="53061721"/>
    <w:rsid w:val="530C0E6B"/>
    <w:rsid w:val="530C41A5"/>
    <w:rsid w:val="531C3F9F"/>
    <w:rsid w:val="532F77EA"/>
    <w:rsid w:val="53367575"/>
    <w:rsid w:val="533933AA"/>
    <w:rsid w:val="533B7F54"/>
    <w:rsid w:val="533D2D66"/>
    <w:rsid w:val="535009E1"/>
    <w:rsid w:val="53650168"/>
    <w:rsid w:val="53665DA9"/>
    <w:rsid w:val="536C2A29"/>
    <w:rsid w:val="536E571F"/>
    <w:rsid w:val="53723349"/>
    <w:rsid w:val="538859E4"/>
    <w:rsid w:val="538E3092"/>
    <w:rsid w:val="539F394B"/>
    <w:rsid w:val="53A20FFA"/>
    <w:rsid w:val="53A233E4"/>
    <w:rsid w:val="53A63AE8"/>
    <w:rsid w:val="53A94C48"/>
    <w:rsid w:val="53AA7BC7"/>
    <w:rsid w:val="53AE5EA5"/>
    <w:rsid w:val="53B00B1F"/>
    <w:rsid w:val="53B2409D"/>
    <w:rsid w:val="53B31E73"/>
    <w:rsid w:val="53BF4252"/>
    <w:rsid w:val="53CC69BB"/>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9A60DB"/>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56A"/>
    <w:rsid w:val="551B7F0A"/>
    <w:rsid w:val="551C3459"/>
    <w:rsid w:val="552A6B56"/>
    <w:rsid w:val="55314F13"/>
    <w:rsid w:val="5532385A"/>
    <w:rsid w:val="55381D42"/>
    <w:rsid w:val="55401B14"/>
    <w:rsid w:val="554748F2"/>
    <w:rsid w:val="554D414C"/>
    <w:rsid w:val="554E7279"/>
    <w:rsid w:val="55594FFB"/>
    <w:rsid w:val="55637CEB"/>
    <w:rsid w:val="55677DDA"/>
    <w:rsid w:val="55757FB9"/>
    <w:rsid w:val="55870A2C"/>
    <w:rsid w:val="55884237"/>
    <w:rsid w:val="558C7FAA"/>
    <w:rsid w:val="55900510"/>
    <w:rsid w:val="55947881"/>
    <w:rsid w:val="55A25EB7"/>
    <w:rsid w:val="55A82784"/>
    <w:rsid w:val="55A97512"/>
    <w:rsid w:val="55B63FD5"/>
    <w:rsid w:val="55C35A76"/>
    <w:rsid w:val="55CA2380"/>
    <w:rsid w:val="55D40743"/>
    <w:rsid w:val="55DD6F2A"/>
    <w:rsid w:val="55E73480"/>
    <w:rsid w:val="55E8339E"/>
    <w:rsid w:val="55EB75D7"/>
    <w:rsid w:val="55F06771"/>
    <w:rsid w:val="55FC4090"/>
    <w:rsid w:val="560C022B"/>
    <w:rsid w:val="560D5F48"/>
    <w:rsid w:val="56106284"/>
    <w:rsid w:val="5632642A"/>
    <w:rsid w:val="56375B61"/>
    <w:rsid w:val="564944F4"/>
    <w:rsid w:val="564E5820"/>
    <w:rsid w:val="565104C5"/>
    <w:rsid w:val="56630C00"/>
    <w:rsid w:val="56655398"/>
    <w:rsid w:val="56721038"/>
    <w:rsid w:val="567739D2"/>
    <w:rsid w:val="56775A0A"/>
    <w:rsid w:val="567E16D6"/>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5077A"/>
    <w:rsid w:val="58B9636C"/>
    <w:rsid w:val="58C37133"/>
    <w:rsid w:val="58C93046"/>
    <w:rsid w:val="58D36BCB"/>
    <w:rsid w:val="58D8157C"/>
    <w:rsid w:val="58E11166"/>
    <w:rsid w:val="58E6349C"/>
    <w:rsid w:val="58E9779C"/>
    <w:rsid w:val="58EF63EE"/>
    <w:rsid w:val="590317F0"/>
    <w:rsid w:val="59075000"/>
    <w:rsid w:val="590A108B"/>
    <w:rsid w:val="593559FD"/>
    <w:rsid w:val="594079B2"/>
    <w:rsid w:val="595B45EE"/>
    <w:rsid w:val="596A688E"/>
    <w:rsid w:val="5987482A"/>
    <w:rsid w:val="598A58C2"/>
    <w:rsid w:val="598C6F19"/>
    <w:rsid w:val="599C49A8"/>
    <w:rsid w:val="59A36725"/>
    <w:rsid w:val="59B21BF9"/>
    <w:rsid w:val="59BB4EA3"/>
    <w:rsid w:val="59C13271"/>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9B51AA"/>
    <w:rsid w:val="5AA75D85"/>
    <w:rsid w:val="5ABC50F4"/>
    <w:rsid w:val="5ACC4940"/>
    <w:rsid w:val="5ACD3CD2"/>
    <w:rsid w:val="5AD86A6D"/>
    <w:rsid w:val="5AE8708E"/>
    <w:rsid w:val="5AEB3074"/>
    <w:rsid w:val="5AEC14F6"/>
    <w:rsid w:val="5AF124A4"/>
    <w:rsid w:val="5B141085"/>
    <w:rsid w:val="5B1A1C17"/>
    <w:rsid w:val="5B28192B"/>
    <w:rsid w:val="5B342BAD"/>
    <w:rsid w:val="5B392581"/>
    <w:rsid w:val="5B4007EF"/>
    <w:rsid w:val="5B4D1F7C"/>
    <w:rsid w:val="5B51561D"/>
    <w:rsid w:val="5B570E24"/>
    <w:rsid w:val="5B66707B"/>
    <w:rsid w:val="5B673066"/>
    <w:rsid w:val="5B686FA7"/>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2A73E7"/>
    <w:rsid w:val="5C3B6CFC"/>
    <w:rsid w:val="5C4C2CF4"/>
    <w:rsid w:val="5C6B1600"/>
    <w:rsid w:val="5C6E26BF"/>
    <w:rsid w:val="5C7D70D1"/>
    <w:rsid w:val="5C8542A8"/>
    <w:rsid w:val="5CA6294E"/>
    <w:rsid w:val="5CD928A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611B66"/>
    <w:rsid w:val="5D634782"/>
    <w:rsid w:val="5D654194"/>
    <w:rsid w:val="5D6E1B86"/>
    <w:rsid w:val="5D722912"/>
    <w:rsid w:val="5D725A84"/>
    <w:rsid w:val="5D8A2CFF"/>
    <w:rsid w:val="5D960EE9"/>
    <w:rsid w:val="5D9A0CFA"/>
    <w:rsid w:val="5D9B296A"/>
    <w:rsid w:val="5D9C251B"/>
    <w:rsid w:val="5DA53D05"/>
    <w:rsid w:val="5DB765B6"/>
    <w:rsid w:val="5DC33F68"/>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124A1"/>
    <w:rsid w:val="5E237029"/>
    <w:rsid w:val="5E3A3BD1"/>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02979"/>
    <w:rsid w:val="607A0897"/>
    <w:rsid w:val="607C3753"/>
    <w:rsid w:val="607F6EAB"/>
    <w:rsid w:val="608B2C8F"/>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950B7"/>
    <w:rsid w:val="61421EFD"/>
    <w:rsid w:val="614F6F7E"/>
    <w:rsid w:val="615C5041"/>
    <w:rsid w:val="61640524"/>
    <w:rsid w:val="617A6EE7"/>
    <w:rsid w:val="617B616B"/>
    <w:rsid w:val="6182260C"/>
    <w:rsid w:val="61867753"/>
    <w:rsid w:val="6190565E"/>
    <w:rsid w:val="61AA2608"/>
    <w:rsid w:val="61AD68BC"/>
    <w:rsid w:val="61AE786E"/>
    <w:rsid w:val="61B173D2"/>
    <w:rsid w:val="61BC4BE1"/>
    <w:rsid w:val="61D43A2B"/>
    <w:rsid w:val="61E34474"/>
    <w:rsid w:val="61ED6D6A"/>
    <w:rsid w:val="61FF316E"/>
    <w:rsid w:val="621253B0"/>
    <w:rsid w:val="621542CB"/>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2FF7997"/>
    <w:rsid w:val="631010DD"/>
    <w:rsid w:val="6327422B"/>
    <w:rsid w:val="6328597C"/>
    <w:rsid w:val="632C2A14"/>
    <w:rsid w:val="633B249F"/>
    <w:rsid w:val="633D1842"/>
    <w:rsid w:val="634E66C0"/>
    <w:rsid w:val="635123F0"/>
    <w:rsid w:val="63552D76"/>
    <w:rsid w:val="6359778B"/>
    <w:rsid w:val="635B63E3"/>
    <w:rsid w:val="636D7473"/>
    <w:rsid w:val="63771D13"/>
    <w:rsid w:val="63882543"/>
    <w:rsid w:val="638B726E"/>
    <w:rsid w:val="638C3395"/>
    <w:rsid w:val="63B37325"/>
    <w:rsid w:val="63B82D87"/>
    <w:rsid w:val="63BA3154"/>
    <w:rsid w:val="63CA2E8B"/>
    <w:rsid w:val="63D4153E"/>
    <w:rsid w:val="63DA0FA3"/>
    <w:rsid w:val="63DC7755"/>
    <w:rsid w:val="63DE4EC1"/>
    <w:rsid w:val="63E43D21"/>
    <w:rsid w:val="63F47D2A"/>
    <w:rsid w:val="63F6335E"/>
    <w:rsid w:val="63FE2D33"/>
    <w:rsid w:val="63FF116D"/>
    <w:rsid w:val="64046427"/>
    <w:rsid w:val="642369FC"/>
    <w:rsid w:val="64264A79"/>
    <w:rsid w:val="642A38B2"/>
    <w:rsid w:val="64304E58"/>
    <w:rsid w:val="64311867"/>
    <w:rsid w:val="64391ED3"/>
    <w:rsid w:val="6445632E"/>
    <w:rsid w:val="64742B63"/>
    <w:rsid w:val="647E661E"/>
    <w:rsid w:val="648939AA"/>
    <w:rsid w:val="648C635C"/>
    <w:rsid w:val="649B1AC2"/>
    <w:rsid w:val="64A7467B"/>
    <w:rsid w:val="64B53322"/>
    <w:rsid w:val="64C61AF8"/>
    <w:rsid w:val="64C86505"/>
    <w:rsid w:val="64D04974"/>
    <w:rsid w:val="64FB4412"/>
    <w:rsid w:val="64FE700F"/>
    <w:rsid w:val="6500327F"/>
    <w:rsid w:val="6506609B"/>
    <w:rsid w:val="65083216"/>
    <w:rsid w:val="65460728"/>
    <w:rsid w:val="654835A8"/>
    <w:rsid w:val="657C5174"/>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A318B"/>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17F7"/>
    <w:rsid w:val="677A266A"/>
    <w:rsid w:val="677C1A81"/>
    <w:rsid w:val="677E7198"/>
    <w:rsid w:val="678A426A"/>
    <w:rsid w:val="67914BE1"/>
    <w:rsid w:val="67A01F16"/>
    <w:rsid w:val="67A2026E"/>
    <w:rsid w:val="67B163D1"/>
    <w:rsid w:val="67DE0B68"/>
    <w:rsid w:val="67F45538"/>
    <w:rsid w:val="67F67092"/>
    <w:rsid w:val="68005932"/>
    <w:rsid w:val="680239EB"/>
    <w:rsid w:val="680722DA"/>
    <w:rsid w:val="68075891"/>
    <w:rsid w:val="68096B99"/>
    <w:rsid w:val="681C6C95"/>
    <w:rsid w:val="682211D1"/>
    <w:rsid w:val="6842274F"/>
    <w:rsid w:val="685C6395"/>
    <w:rsid w:val="686318DD"/>
    <w:rsid w:val="68635145"/>
    <w:rsid w:val="68641D36"/>
    <w:rsid w:val="687914A4"/>
    <w:rsid w:val="687F607E"/>
    <w:rsid w:val="6887281F"/>
    <w:rsid w:val="689565AD"/>
    <w:rsid w:val="689A41FB"/>
    <w:rsid w:val="689E57F0"/>
    <w:rsid w:val="68A34C5C"/>
    <w:rsid w:val="68CA6EAF"/>
    <w:rsid w:val="68D507C6"/>
    <w:rsid w:val="68E24981"/>
    <w:rsid w:val="68E35159"/>
    <w:rsid w:val="68E62C62"/>
    <w:rsid w:val="68ED60A5"/>
    <w:rsid w:val="68FC54E3"/>
    <w:rsid w:val="68FF75E0"/>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679A4"/>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16BE5"/>
    <w:rsid w:val="6BA6663C"/>
    <w:rsid w:val="6BA9194F"/>
    <w:rsid w:val="6BCA7437"/>
    <w:rsid w:val="6BE727F5"/>
    <w:rsid w:val="6C001608"/>
    <w:rsid w:val="6C03749E"/>
    <w:rsid w:val="6C0858B3"/>
    <w:rsid w:val="6C132D21"/>
    <w:rsid w:val="6C240DF3"/>
    <w:rsid w:val="6C45610F"/>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E93D5A"/>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C1260"/>
    <w:rsid w:val="6E3E5591"/>
    <w:rsid w:val="6E4215C6"/>
    <w:rsid w:val="6E4B0158"/>
    <w:rsid w:val="6E4D611F"/>
    <w:rsid w:val="6E555D19"/>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BF0F03"/>
    <w:rsid w:val="6ECC3A24"/>
    <w:rsid w:val="6ED86D3E"/>
    <w:rsid w:val="6EE9744F"/>
    <w:rsid w:val="6EEC3F7C"/>
    <w:rsid w:val="6EF3602C"/>
    <w:rsid w:val="6EFE1485"/>
    <w:rsid w:val="6F0247B3"/>
    <w:rsid w:val="6F031F8E"/>
    <w:rsid w:val="6F0D382C"/>
    <w:rsid w:val="6F2632E8"/>
    <w:rsid w:val="6F30363A"/>
    <w:rsid w:val="6F3316E5"/>
    <w:rsid w:val="6F3F40F9"/>
    <w:rsid w:val="6F40758E"/>
    <w:rsid w:val="6F45289E"/>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E97268"/>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BE52EF"/>
    <w:rsid w:val="71C7540C"/>
    <w:rsid w:val="71CD57C4"/>
    <w:rsid w:val="71D66F51"/>
    <w:rsid w:val="71F64A63"/>
    <w:rsid w:val="71F870B8"/>
    <w:rsid w:val="72021233"/>
    <w:rsid w:val="720B2A1D"/>
    <w:rsid w:val="72197AB8"/>
    <w:rsid w:val="72502F9F"/>
    <w:rsid w:val="7251515C"/>
    <w:rsid w:val="725817D3"/>
    <w:rsid w:val="726E6AD4"/>
    <w:rsid w:val="7275156C"/>
    <w:rsid w:val="727C422C"/>
    <w:rsid w:val="7288329F"/>
    <w:rsid w:val="728C297A"/>
    <w:rsid w:val="728E71EE"/>
    <w:rsid w:val="7292045A"/>
    <w:rsid w:val="72974DBE"/>
    <w:rsid w:val="72981C37"/>
    <w:rsid w:val="72983FF8"/>
    <w:rsid w:val="72985E1E"/>
    <w:rsid w:val="72A20C20"/>
    <w:rsid w:val="72AC5E95"/>
    <w:rsid w:val="72B76954"/>
    <w:rsid w:val="72C13ED7"/>
    <w:rsid w:val="72CF1AC7"/>
    <w:rsid w:val="72DC0F93"/>
    <w:rsid w:val="72E42AFA"/>
    <w:rsid w:val="72E85578"/>
    <w:rsid w:val="72EB4466"/>
    <w:rsid w:val="72FD426E"/>
    <w:rsid w:val="73043CFC"/>
    <w:rsid w:val="7317244F"/>
    <w:rsid w:val="732B736C"/>
    <w:rsid w:val="732C334F"/>
    <w:rsid w:val="733F3B6A"/>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C172C1"/>
    <w:rsid w:val="73C50B73"/>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4723D0"/>
    <w:rsid w:val="75477CFA"/>
    <w:rsid w:val="756F29D2"/>
    <w:rsid w:val="75752B04"/>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30571"/>
    <w:rsid w:val="760A4340"/>
    <w:rsid w:val="76123E1D"/>
    <w:rsid w:val="761270F3"/>
    <w:rsid w:val="761F0951"/>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0D0CB2"/>
    <w:rsid w:val="770E3B30"/>
    <w:rsid w:val="771A04D1"/>
    <w:rsid w:val="771B67DF"/>
    <w:rsid w:val="771E64D7"/>
    <w:rsid w:val="77272CAB"/>
    <w:rsid w:val="77451578"/>
    <w:rsid w:val="77576666"/>
    <w:rsid w:val="77636E18"/>
    <w:rsid w:val="77692EA3"/>
    <w:rsid w:val="77695538"/>
    <w:rsid w:val="7773758E"/>
    <w:rsid w:val="777672AD"/>
    <w:rsid w:val="77825248"/>
    <w:rsid w:val="7785098B"/>
    <w:rsid w:val="77870D91"/>
    <w:rsid w:val="778A3229"/>
    <w:rsid w:val="779258CC"/>
    <w:rsid w:val="7794068F"/>
    <w:rsid w:val="779A096B"/>
    <w:rsid w:val="779B52FF"/>
    <w:rsid w:val="779C011D"/>
    <w:rsid w:val="77A00E75"/>
    <w:rsid w:val="77A80D17"/>
    <w:rsid w:val="77AA0270"/>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724B9"/>
    <w:rsid w:val="78782A0D"/>
    <w:rsid w:val="78785A2F"/>
    <w:rsid w:val="787B5060"/>
    <w:rsid w:val="788720E7"/>
    <w:rsid w:val="78A90B04"/>
    <w:rsid w:val="78C53485"/>
    <w:rsid w:val="78C6693F"/>
    <w:rsid w:val="78C76A01"/>
    <w:rsid w:val="78C9386A"/>
    <w:rsid w:val="78DA30DC"/>
    <w:rsid w:val="78EC45D8"/>
    <w:rsid w:val="78EC6DF0"/>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C67F4"/>
    <w:rsid w:val="7A6E4BF5"/>
    <w:rsid w:val="7A7F4A1E"/>
    <w:rsid w:val="7A851D5D"/>
    <w:rsid w:val="7A8A2267"/>
    <w:rsid w:val="7AB53126"/>
    <w:rsid w:val="7AB76FE8"/>
    <w:rsid w:val="7AB8122B"/>
    <w:rsid w:val="7ACC526F"/>
    <w:rsid w:val="7AD268E2"/>
    <w:rsid w:val="7ADC0B33"/>
    <w:rsid w:val="7AE14C19"/>
    <w:rsid w:val="7AEA174E"/>
    <w:rsid w:val="7B274176"/>
    <w:rsid w:val="7B3057E4"/>
    <w:rsid w:val="7B306163"/>
    <w:rsid w:val="7B364C38"/>
    <w:rsid w:val="7B393D17"/>
    <w:rsid w:val="7B3A65AF"/>
    <w:rsid w:val="7B3E17AA"/>
    <w:rsid w:val="7B401C79"/>
    <w:rsid w:val="7B4175C8"/>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3623E2"/>
    <w:rsid w:val="7C4A2BD1"/>
    <w:rsid w:val="7C4C0053"/>
    <w:rsid w:val="7C576C70"/>
    <w:rsid w:val="7C613982"/>
    <w:rsid w:val="7C6E4349"/>
    <w:rsid w:val="7C77043F"/>
    <w:rsid w:val="7C8A7CDC"/>
    <w:rsid w:val="7C9E5A24"/>
    <w:rsid w:val="7CA3515D"/>
    <w:rsid w:val="7CA745A1"/>
    <w:rsid w:val="7CAC0540"/>
    <w:rsid w:val="7CAF4DCB"/>
    <w:rsid w:val="7CB4006B"/>
    <w:rsid w:val="7CB93ABB"/>
    <w:rsid w:val="7CC475DB"/>
    <w:rsid w:val="7CD9736C"/>
    <w:rsid w:val="7CDE3831"/>
    <w:rsid w:val="7CE656F0"/>
    <w:rsid w:val="7CED34FF"/>
    <w:rsid w:val="7CEE5458"/>
    <w:rsid w:val="7CF26588"/>
    <w:rsid w:val="7CF565D7"/>
    <w:rsid w:val="7CF67DDB"/>
    <w:rsid w:val="7CFA3A46"/>
    <w:rsid w:val="7D0F5720"/>
    <w:rsid w:val="7D24652E"/>
    <w:rsid w:val="7D2561FD"/>
    <w:rsid w:val="7D2E198F"/>
    <w:rsid w:val="7D3B3737"/>
    <w:rsid w:val="7D3D73AF"/>
    <w:rsid w:val="7D3F6E5D"/>
    <w:rsid w:val="7D4E5B7E"/>
    <w:rsid w:val="7D514310"/>
    <w:rsid w:val="7D5B27C9"/>
    <w:rsid w:val="7D62117D"/>
    <w:rsid w:val="7D6B7F02"/>
    <w:rsid w:val="7D834A16"/>
    <w:rsid w:val="7D925D26"/>
    <w:rsid w:val="7D9D0A97"/>
    <w:rsid w:val="7D9D438F"/>
    <w:rsid w:val="7D9F1099"/>
    <w:rsid w:val="7DA514D2"/>
    <w:rsid w:val="7DAE6BE3"/>
    <w:rsid w:val="7DCD1A27"/>
    <w:rsid w:val="7DCD4EB5"/>
    <w:rsid w:val="7DDF20BC"/>
    <w:rsid w:val="7E090313"/>
    <w:rsid w:val="7E3E0FEC"/>
    <w:rsid w:val="7E3E1EF2"/>
    <w:rsid w:val="7E566EA2"/>
    <w:rsid w:val="7E5678AC"/>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DF1D2F"/>
    <w:rsid w:val="7EE34086"/>
    <w:rsid w:val="7EE55F89"/>
    <w:rsid w:val="7EEB5719"/>
    <w:rsid w:val="7EF215E8"/>
    <w:rsid w:val="7EF525E1"/>
    <w:rsid w:val="7EF74FC9"/>
    <w:rsid w:val="7F000B6A"/>
    <w:rsid w:val="7F022EBD"/>
    <w:rsid w:val="7F0B5962"/>
    <w:rsid w:val="7F0C2035"/>
    <w:rsid w:val="7F0F0FAF"/>
    <w:rsid w:val="7F0F7992"/>
    <w:rsid w:val="7F1B0865"/>
    <w:rsid w:val="7F271AA3"/>
    <w:rsid w:val="7F354370"/>
    <w:rsid w:val="7F542B37"/>
    <w:rsid w:val="7F6A77AB"/>
    <w:rsid w:val="7F6B2248"/>
    <w:rsid w:val="7F6F24AA"/>
    <w:rsid w:val="7F7D7A8E"/>
    <w:rsid w:val="7F872588"/>
    <w:rsid w:val="7F8725BA"/>
    <w:rsid w:val="7F8C6A8F"/>
    <w:rsid w:val="7F994DB5"/>
    <w:rsid w:val="7F9C175D"/>
    <w:rsid w:val="7F9F773D"/>
    <w:rsid w:val="7FA85877"/>
    <w:rsid w:val="7FAB3A81"/>
    <w:rsid w:val="7FC71AD9"/>
    <w:rsid w:val="7FCB6843"/>
    <w:rsid w:val="7FCC589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paragraph" w:customStyle="1" w:styleId="75">
    <w:name w:val="TAR"/>
    <w:basedOn w:val="57"/>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11</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2023-02-17T08:23:09Z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